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44"/>
          <w:szCs w:val="44"/>
          <w:lang w:val="en-US" w:eastAsia="zh-CN"/>
        </w:rPr>
      </w:pPr>
      <w:r>
        <w:rPr>
          <w:rFonts w:hint="eastAsia" w:ascii="宋体" w:hAnsi="宋体" w:cs="宋体"/>
          <w:b/>
          <w:bCs/>
          <w:sz w:val="44"/>
          <w:szCs w:val="44"/>
          <w:lang w:val="en-US" w:eastAsia="zh-CN"/>
        </w:rPr>
        <w:t xml:space="preserve"> </w:t>
      </w:r>
    </w:p>
    <w:p>
      <w:pPr>
        <w:rPr>
          <w:rFonts w:hint="eastAsia" w:ascii="宋体" w:hAnsi="宋体" w:cs="宋体"/>
          <w:b/>
          <w:bCs/>
          <w:sz w:val="44"/>
          <w:szCs w:val="44"/>
          <w:lang w:val="en-US" w:eastAsia="zh-CN"/>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4"/>
          <w:szCs w:val="44"/>
          <w:lang w:eastAsia="zh-CN"/>
        </w:rPr>
        <w:t>陕西省蔡家坡经济技术开发区管理委员会</w:t>
      </w: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20</w:t>
      </w:r>
      <w:r>
        <w:rPr>
          <w:rFonts w:hint="eastAsia" w:asciiTheme="majorEastAsia" w:hAnsiTheme="majorEastAsia" w:eastAsiaTheme="majorEastAsia" w:cstheme="majorEastAsia"/>
          <w:b/>
          <w:bCs/>
          <w:sz w:val="44"/>
          <w:szCs w:val="44"/>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540" w:lineRule="exact"/>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spacing w:line="540" w:lineRule="exact"/>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spacing w:line="540" w:lineRule="exact"/>
        <w:ind w:firstLine="640" w:firstLineChars="200"/>
        <w:jc w:val="center"/>
      </w:pPr>
      <w:r>
        <w:rPr>
          <w:rFonts w:hint="eastAsia" w:ascii="黑体" w:hAnsi="宋体" w:eastAsia="黑体"/>
          <w:color w:val="000000"/>
          <w:kern w:val="0"/>
          <w:sz w:val="32"/>
          <w:szCs w:val="32"/>
          <w:lang w:bidi="ar"/>
        </w:rPr>
        <w:t xml:space="preserve">第二部分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ascii="黑体" w:hAnsi="宋体" w:eastAsia="黑体"/>
          <w:color w:val="000000"/>
          <w:kern w:val="0"/>
          <w:sz w:val="32"/>
          <w:szCs w:val="32"/>
          <w:lang w:bidi="ar"/>
        </w:rPr>
        <w:t>20</w:t>
      </w:r>
      <w:r>
        <w:rPr>
          <w:rFonts w:hint="eastAsia" w:ascii="黑体" w:hAnsi="宋体" w:eastAsia="黑体"/>
          <w:color w:val="000000"/>
          <w:kern w:val="0"/>
          <w:sz w:val="32"/>
          <w:szCs w:val="32"/>
          <w:lang w:bidi="ar"/>
        </w:rPr>
        <w:t>年部门决算情况说明</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spacing w:line="540" w:lineRule="exact"/>
        <w:ind w:firstLine="640" w:firstLineChars="200"/>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spacing w:line="540" w:lineRule="exact"/>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第三部分 专业名词解释</w:t>
      </w:r>
    </w:p>
    <w:p>
      <w:pPr>
        <w:widowControl/>
        <w:spacing w:line="540" w:lineRule="exact"/>
        <w:jc w:val="center"/>
      </w:pPr>
      <w:r>
        <w:rPr>
          <w:rFonts w:hint="eastAsia" w:ascii="黑体" w:hAnsi="宋体" w:eastAsia="黑体"/>
          <w:color w:val="000000"/>
          <w:kern w:val="0"/>
          <w:sz w:val="32"/>
          <w:szCs w:val="32"/>
          <w:lang w:bidi="ar"/>
        </w:rPr>
        <w:t>第四部分  20</w:t>
      </w:r>
      <w:r>
        <w:rPr>
          <w:rFonts w:ascii="黑体" w:hAnsi="宋体" w:eastAsia="黑体"/>
          <w:color w:val="000000"/>
          <w:kern w:val="0"/>
          <w:sz w:val="32"/>
          <w:szCs w:val="32"/>
          <w:lang w:bidi="ar"/>
        </w:rPr>
        <w:t>20</w:t>
      </w:r>
      <w:r>
        <w:rPr>
          <w:rFonts w:hint="eastAsia" w:ascii="黑体" w:hAnsi="宋体" w:eastAsia="黑体"/>
          <w:color w:val="000000"/>
          <w:kern w:val="0"/>
          <w:sz w:val="32"/>
          <w:szCs w:val="32"/>
          <w:lang w:bidi="ar"/>
        </w:rPr>
        <w:t>年部门决算表</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九、部门项目绩效目标自评表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十、部门整体绩效目标自评表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p>
    <w:p>
      <w:pPr>
        <w:spacing w:line="540" w:lineRule="exact"/>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spacing w:line="540" w:lineRule="exact"/>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spacing w:line="540" w:lineRule="exact"/>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1、负责蔡家坡经开区招商引资工作。制定落实招商引资优惠政策，编制招商引资规划，宣传推介项目，策划、组织各类招商活动，实施招商投资项目的洽谈、签约等。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2、负责蔡家坡经开区项目建设工作。实施重大产业项目、基础设施项目、社会事业项目等，做大经开区经济总量。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3、负责蔡家坡经开区规划编制工作。编制、修订、实施蔡家坡城市总体规划、详细规划、土地利用总体规划、产业发展规划、重点示范镇建设规划等。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4、负责蔡家坡经开区环境建设工作。净化投资环境，持续开展投资环境综合整治，依法打击破坏投资环境行为。优化政策环境，落实国家关天经济区、新丝绸之路经济带产业集群建设等优惠政策。强化生态环境，建设宜工宜商、宜业宜居的魅力之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5、负责蔡家坡经开区投融资工作。加强融资平台建设，促进银企合作，创新融资模式，扩大融资规模，解决资金瓶颈问题。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6、负责蔡家坡经开区党建和党风廉政建设工作。做好所属基层组织建设及党员教育管理、区（镇）组织人事管理等工作。制定、实施党风廉政建设计划，严格监督问责，查处违法违纪案件。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7、履行法律法规赋予的其他职能，完成上级党委、政府交办的其他工作。 </w:t>
      </w:r>
    </w:p>
    <w:p>
      <w:pPr>
        <w:widowControl/>
        <w:spacing w:line="540" w:lineRule="exact"/>
        <w:ind w:firstLine="643" w:firstLineChars="200"/>
        <w:jc w:val="left"/>
        <w:rPr>
          <w:rFonts w:hint="eastAsia" w:ascii="楷体" w:hAnsi="楷体" w:eastAsia="楷体" w:cs="楷体"/>
          <w:b/>
          <w:bCs/>
          <w:color w:val="000000"/>
          <w:kern w:val="0"/>
          <w:sz w:val="32"/>
          <w:szCs w:val="32"/>
          <w:lang w:bidi="ar"/>
        </w:rPr>
      </w:pPr>
    </w:p>
    <w:p>
      <w:pPr>
        <w:widowControl/>
        <w:spacing w:line="54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ind w:firstLine="640"/>
        <w:rPr>
          <w:rFonts w:hint="eastAsia" w:ascii="宋体" w:hAnsi="宋体" w:eastAsia="宋体" w:cs="宋体"/>
          <w:color w:val="2B2B2B"/>
          <w:sz w:val="30"/>
          <w:szCs w:val="30"/>
          <w:vertAlign w:val="baseline"/>
        </w:rPr>
      </w:pPr>
      <w:r>
        <w:rPr>
          <w:rFonts w:hint="eastAsia" w:ascii="仿宋" w:hAnsi="仿宋" w:eastAsia="仿宋" w:cs="仿宋"/>
          <w:color w:val="2B2B2B"/>
          <w:sz w:val="30"/>
          <w:szCs w:val="30"/>
          <w:vertAlign w:val="baseline"/>
        </w:rPr>
        <w:t>蔡家坡经开区管委会为全额拨款的行政单位。现内设9个职能部门：党政综合办公室、组织人才办公室、纪检监察办公室、经济发展与规划管理局、招商服务局、建设局、岐山县国土资源局蔡家坡经开区分局、财政局、城市综合管理局。</w:t>
      </w:r>
    </w:p>
    <w:p>
      <w:pPr>
        <w:widowControl/>
        <w:spacing w:line="540" w:lineRule="exact"/>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 w:hAnsi="仿宋" w:eastAsia="仿宋" w:cs="仿宋"/>
          <w:sz w:val="32"/>
          <w:szCs w:val="32"/>
        </w:rPr>
      </w:pPr>
      <w:r>
        <w:rPr>
          <w:rFonts w:hint="eastAsia" w:ascii="仿宋" w:hAnsi="仿宋" w:eastAsia="仿宋" w:cs="仿宋"/>
          <w:sz w:val="32"/>
          <w:szCs w:val="32"/>
        </w:rPr>
        <w:t>纳入本部门20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年部门决算编制范围的单位包括本级及所属</w:t>
      </w:r>
      <w:r>
        <w:rPr>
          <w:rFonts w:hint="eastAsia" w:ascii="仿宋" w:hAnsi="仿宋" w:eastAsia="仿宋" w:cs="仿宋"/>
          <w:sz w:val="32"/>
          <w:szCs w:val="32"/>
          <w:lang w:val="en-US" w:eastAsia="zh-CN"/>
        </w:rPr>
        <w:t>9</w:t>
      </w:r>
      <w:r>
        <w:rPr>
          <w:rFonts w:hint="eastAsia" w:ascii="仿宋" w:hAnsi="仿宋" w:eastAsia="仿宋" w:cs="仿宋"/>
          <w:sz w:val="32"/>
          <w:szCs w:val="32"/>
        </w:rPr>
        <w:t>个下级单位：</w:t>
      </w:r>
    </w:p>
    <w:tbl>
      <w:tblPr>
        <w:tblStyle w:val="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90"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7590" w:type="dxa"/>
            <w:shd w:val="clear" w:color="auto" w:fill="auto"/>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陕西省蔡家坡经济技术开发区管理委员会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7590" w:type="dxa"/>
            <w:shd w:val="clear" w:color="auto" w:fill="auto"/>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陕西省蔡家坡经济技术开发区管理委员会城市综合管理局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7590" w:type="dxa"/>
            <w:shd w:val="clear" w:color="auto" w:fill="auto"/>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陕西省蔡家坡经济技术开发区管理委员会财政局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陕西省蔡家坡经济技术开发区管理委员会岐山县国土资源局蔡家坡分局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陕西省蔡家坡经济技术开发区管理委员会纪检监察办公室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陕西省蔡家坡经济技术开发区管理委员会组织人才办公室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陕西省蔡家坡经济技术开发区管理委员会招商服务局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陕西省蔡家坡经济技术开发区管理委员会经济发展与规划管理局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480560" cy="2953385"/>
            <wp:effectExtent l="4445" t="5080" r="1079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rPr>
          <w:rFonts w:hint="eastAsia" w:ascii="仿宋_GB2312" w:hAnsi="仿宋_GB2312" w:eastAsia="仿宋_GB2312" w:cs="仿宋_GB2312"/>
          <w:sz w:val="32"/>
          <w:szCs w:val="32"/>
        </w:rPr>
      </w:pPr>
    </w:p>
    <w:p>
      <w:pPr>
        <w:jc w:val="both"/>
        <w:rPr>
          <w:rFonts w:ascii="仿宋_GB2312" w:hAnsi="仿宋_GB2312" w:eastAsia="仿宋_GB2312" w:cs="仿宋_GB2312"/>
          <w:sz w:val="32"/>
          <w:szCs w:val="32"/>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第二部分 20</w:t>
      </w:r>
      <w:r>
        <w:rPr>
          <w:rFonts w:ascii="黑体" w:hAnsi="宋体" w:eastAsia="黑体"/>
          <w:color w:val="000000"/>
          <w:kern w:val="0"/>
          <w:sz w:val="44"/>
          <w:szCs w:val="44"/>
          <w:lang w:bidi="ar"/>
        </w:rPr>
        <w:t>20</w:t>
      </w:r>
      <w:r>
        <w:rPr>
          <w:rFonts w:hint="eastAsia" w:ascii="黑体" w:hAnsi="宋体" w:eastAsia="黑体"/>
          <w:color w:val="000000"/>
          <w:kern w:val="0"/>
          <w:sz w:val="44"/>
          <w:szCs w:val="44"/>
          <w:lang w:bidi="ar"/>
        </w:rPr>
        <w:t xml:space="preserve"> 年部门决算情况说明</w:t>
      </w:r>
    </w:p>
    <w:p>
      <w:pPr>
        <w:widowControl/>
        <w:spacing w:line="240" w:lineRule="exact"/>
        <w:rPr>
          <w:rFonts w:ascii="黑体" w:hAnsi="宋体" w:eastAsia="黑体"/>
          <w:color w:val="000000"/>
          <w:kern w:val="0"/>
          <w:sz w:val="44"/>
          <w:szCs w:val="44"/>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（文字说明，并列柱形图表）</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70555万元，较上年</w:t>
      </w:r>
      <w:r>
        <w:rPr>
          <w:rFonts w:hint="eastAsia" w:ascii="仿宋_GB2312" w:hAnsi="仿宋" w:eastAsia="仿宋_GB2312"/>
          <w:sz w:val="32"/>
          <w:szCs w:val="32"/>
        </w:rPr>
        <w:t>总体情况及比上年增长</w:t>
      </w:r>
      <w:r>
        <w:rPr>
          <w:rFonts w:hint="eastAsia" w:ascii="仿宋_GB2312" w:hAnsi="仿宋" w:eastAsia="仿宋_GB2312"/>
          <w:sz w:val="32"/>
          <w:szCs w:val="32"/>
          <w:lang w:val="en-US" w:eastAsia="zh-CN"/>
        </w:rPr>
        <w:t>35917万元</w:t>
      </w:r>
      <w:r>
        <w:rPr>
          <w:rFonts w:hint="eastAsia" w:ascii="仿宋_GB2312" w:hAnsi="仿宋" w:eastAsia="仿宋_GB2312"/>
          <w:sz w:val="32"/>
          <w:szCs w:val="32"/>
        </w:rPr>
        <w:t>情况，主要原因</w:t>
      </w:r>
      <w:r>
        <w:rPr>
          <w:rFonts w:hint="eastAsia" w:ascii="仿宋_GB2312" w:hAnsi="仿宋" w:eastAsia="仿宋_GB2312"/>
          <w:sz w:val="32"/>
          <w:szCs w:val="32"/>
          <w:lang w:eastAsia="zh-CN"/>
        </w:rPr>
        <w:t>是财政拨款增加，项目费用增加</w:t>
      </w:r>
      <w:r>
        <w:rPr>
          <w:rFonts w:hint="eastAsia" w:ascii="仿宋_GB2312" w:hAnsi="仿宋" w:eastAsia="仿宋_GB2312"/>
          <w:sz w:val="32"/>
          <w:szCs w:val="32"/>
        </w:rPr>
        <w:t>。</w:t>
      </w: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448945</wp:posOffset>
            </wp:positionH>
            <wp:positionV relativeFrom="paragraph">
              <wp:posOffset>163195</wp:posOffset>
            </wp:positionV>
            <wp:extent cx="4905375" cy="2466975"/>
            <wp:effectExtent l="0" t="0" r="0" b="0"/>
            <wp:wrapSquare wrapText="bothSides"/>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（文字说明，并列饼形图表）</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20年收入合计</w:t>
      </w:r>
      <w:r>
        <w:rPr>
          <w:rFonts w:hint="eastAsia" w:ascii="仿宋_GB2312" w:hAnsi="宋体" w:eastAsia="仿宋_GB2312" w:cs="仿宋_GB2312"/>
          <w:color w:val="000000"/>
          <w:kern w:val="0"/>
          <w:sz w:val="32"/>
          <w:szCs w:val="32"/>
          <w:lang w:val="en-US" w:eastAsia="zh-CN" w:bidi="ar"/>
        </w:rPr>
        <w:t>70555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，其中：财政拨款收入</w:t>
      </w:r>
      <w:r>
        <w:rPr>
          <w:rFonts w:hint="eastAsia" w:ascii="仿宋_GB2312" w:hAnsi="宋体" w:eastAsia="仿宋_GB2312" w:cs="仿宋_GB2312"/>
          <w:color w:val="000000"/>
          <w:kern w:val="0"/>
          <w:sz w:val="32"/>
          <w:szCs w:val="32"/>
          <w:lang w:val="en-US" w:eastAsia="zh-CN" w:bidi="ar"/>
        </w:rPr>
        <w:t>70555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spacing w:line="540" w:lineRule="exact"/>
        <w:jc w:val="left"/>
        <w:rPr>
          <w:rFonts w:ascii="黑体" w:hAnsi="黑体" w:eastAsia="黑体"/>
          <w:color w:val="000000"/>
          <w:kern w:val="0"/>
          <w:sz w:val="32"/>
          <w:szCs w:val="32"/>
          <w:lang w:bidi="ar"/>
        </w:rPr>
      </w:pPr>
    </w:p>
    <w:p>
      <w:pPr>
        <w:widowControl/>
        <w:ind w:firstLine="640" w:firstLineChars="200"/>
        <w:jc w:val="center"/>
        <w:rPr>
          <w:rFonts w:ascii="黑体" w:hAnsi="黑体" w:eastAsia="黑体"/>
          <w:color w:val="000000"/>
          <w:kern w:val="0"/>
          <w:sz w:val="32"/>
          <w:szCs w:val="32"/>
          <w:lang w:bidi="ar"/>
        </w:rPr>
      </w:pPr>
      <w:r>
        <w:rPr>
          <w:rFonts w:hint="eastAsia" w:ascii="仿宋_GB2312" w:hAnsi="仿宋_GB2312" w:eastAsia="仿宋_GB2312" w:cs="仿宋_GB2312"/>
          <w:color w:val="000000"/>
          <w:kern w:val="0"/>
          <w:sz w:val="32"/>
          <w:szCs w:val="32"/>
        </w:rPr>
        <w:drawing>
          <wp:inline distT="0" distB="0" distL="0" distR="0">
            <wp:extent cx="4429125" cy="24860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line="540" w:lineRule="exact"/>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（文字说明，并列饼形图表）</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20年支出合计</w:t>
      </w:r>
      <w:r>
        <w:rPr>
          <w:rFonts w:hint="eastAsia" w:ascii="仿宋_GB2312" w:hAnsi="宋体" w:eastAsia="仿宋_GB2312" w:cs="仿宋_GB2312"/>
          <w:color w:val="000000"/>
          <w:kern w:val="0"/>
          <w:sz w:val="32"/>
          <w:szCs w:val="32"/>
          <w:lang w:val="en-US" w:eastAsia="zh-CN" w:bidi="ar"/>
        </w:rPr>
        <w:t>70555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，其中：基本支出</w:t>
      </w:r>
      <w:r>
        <w:rPr>
          <w:rFonts w:hint="eastAsia" w:ascii="仿宋_GB2312" w:hAnsi="宋体" w:eastAsia="仿宋_GB2312" w:cs="仿宋_GB2312"/>
          <w:color w:val="000000"/>
          <w:kern w:val="0"/>
          <w:sz w:val="32"/>
          <w:szCs w:val="32"/>
          <w:lang w:val="en-US" w:eastAsia="zh-CN" w:bidi="ar"/>
        </w:rPr>
        <w:t>2361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3.35</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68194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96.65</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rPr>
        <w:drawing>
          <wp:inline distT="0" distB="0" distL="0" distR="0">
            <wp:extent cx="4972050" cy="320040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（文字说明，并列柱形图表）</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70555万元，较上年</w:t>
      </w:r>
      <w:r>
        <w:rPr>
          <w:rFonts w:hint="eastAsia" w:ascii="仿宋_GB2312" w:hAnsi="仿宋" w:eastAsia="仿宋_GB2312"/>
          <w:sz w:val="32"/>
          <w:szCs w:val="32"/>
        </w:rPr>
        <w:t>总体情况及比上年增长</w:t>
      </w:r>
      <w:r>
        <w:rPr>
          <w:rFonts w:hint="eastAsia" w:ascii="仿宋_GB2312" w:hAnsi="仿宋" w:eastAsia="仿宋_GB2312"/>
          <w:sz w:val="32"/>
          <w:szCs w:val="32"/>
          <w:lang w:val="en-US" w:eastAsia="zh-CN"/>
        </w:rPr>
        <w:t>35917万元</w:t>
      </w:r>
      <w:r>
        <w:rPr>
          <w:rFonts w:hint="eastAsia" w:ascii="仿宋_GB2312" w:hAnsi="仿宋" w:eastAsia="仿宋_GB2312"/>
          <w:sz w:val="32"/>
          <w:szCs w:val="32"/>
        </w:rPr>
        <w:t>情况，主要原因</w:t>
      </w:r>
      <w:r>
        <w:rPr>
          <w:rFonts w:hint="eastAsia" w:ascii="仿宋_GB2312" w:hAnsi="仿宋" w:eastAsia="仿宋_GB2312"/>
          <w:sz w:val="32"/>
          <w:szCs w:val="32"/>
          <w:lang w:eastAsia="zh-CN"/>
        </w:rPr>
        <w:t>是财政拨款增加，项目费用增加</w:t>
      </w:r>
    </w:p>
    <w:p>
      <w:pPr>
        <w:widowControl/>
        <w:rPr>
          <w:rFonts w:ascii="仿宋_GB2312" w:hAnsi="仿宋" w:eastAsia="仿宋_GB2312"/>
          <w:sz w:val="32"/>
          <w:szCs w:val="32"/>
        </w:rPr>
      </w:pPr>
      <w:r>
        <w:rPr>
          <w:rFonts w:hint="eastAsia" w:ascii="仿宋_GB2312" w:hAnsi="仿宋" w:eastAsia="仿宋_GB2312"/>
          <w:sz w:val="32"/>
          <w:szCs w:val="32"/>
        </w:rPr>
        <w:drawing>
          <wp:inline distT="0" distB="0" distL="0" distR="0">
            <wp:extent cx="5486400" cy="2371725"/>
            <wp:effectExtent l="0" t="0" r="19050" b="952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（文字说明，并列柱形图表）</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2020年财政拨款支出</w:t>
      </w:r>
      <w:r>
        <w:rPr>
          <w:rFonts w:hint="eastAsia" w:ascii="仿宋_GB2312" w:hAnsi="宋体" w:eastAsia="仿宋_GB2312" w:cs="仿宋_GB2312"/>
          <w:color w:val="000000"/>
          <w:kern w:val="0"/>
          <w:sz w:val="32"/>
          <w:szCs w:val="32"/>
          <w:lang w:val="en-US" w:eastAsia="zh-CN" w:bidi="ar"/>
        </w:rPr>
        <w:t>18930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 xml:space="preserve">，占本年支出合 </w:t>
      </w:r>
    </w:p>
    <w:p>
      <w:pPr>
        <w:widowControl/>
        <w:spacing w:line="540" w:lineRule="exact"/>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26.83</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2812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12.93</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eastAsia="zh-CN" w:bidi="ar"/>
        </w:rPr>
        <w:t>财政拨款减少，经费支出压缩</w:t>
      </w:r>
      <w:r>
        <w:rPr>
          <w:rFonts w:hint="eastAsia" w:ascii="仿宋_GB2312" w:hAnsi="宋体" w:eastAsia="仿宋_GB2312" w:cs="仿宋_GB2312"/>
          <w:color w:val="000000"/>
          <w:kern w:val="0"/>
          <w:sz w:val="32"/>
          <w:szCs w:val="32"/>
          <w:lang w:bidi="ar"/>
        </w:rPr>
        <w:t>。</w:t>
      </w:r>
    </w:p>
    <w:p>
      <w:pPr>
        <w:widowControl/>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drawing>
          <wp:inline distT="0" distB="0" distL="0" distR="0">
            <wp:extent cx="5486400" cy="3200400"/>
            <wp:effectExtent l="0" t="0" r="19050"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（根据财决Z01表、财决Z08表等及年初预算，按</w:t>
      </w:r>
      <w:r>
        <w:rPr>
          <w:rFonts w:hint="eastAsia" w:ascii="仿宋_GB2312" w:hAnsi="宋体" w:eastAsia="仿宋_GB2312" w:cs="宋体"/>
          <w:sz w:val="32"/>
          <w:szCs w:val="32"/>
        </w:rPr>
        <w:t>政府功能分类科目</w:t>
      </w:r>
      <w:r>
        <w:rPr>
          <w:rFonts w:hint="eastAsia" w:ascii="仿宋_GB2312" w:hAnsi="仿宋" w:eastAsia="仿宋_GB2312"/>
          <w:sz w:val="32"/>
          <w:szCs w:val="32"/>
        </w:rPr>
        <w:t>说明支出具体内容，具体到项级，</w:t>
      </w:r>
      <w:r>
        <w:rPr>
          <w:rFonts w:hint="eastAsia" w:ascii="仿宋_GB2312" w:hAnsi="仿宋_GB2312" w:eastAsia="仿宋_GB2312" w:cs="仿宋_GB2312"/>
          <w:sz w:val="32"/>
          <w:szCs w:val="32"/>
        </w:rPr>
        <w:t>文字说明</w:t>
      </w:r>
      <w:r>
        <w:rPr>
          <w:rFonts w:hint="eastAsia" w:ascii="仿宋_GB2312" w:hAnsi="仿宋" w:eastAsia="仿宋_GB2312"/>
          <w:sz w:val="32"/>
          <w:szCs w:val="32"/>
        </w:rPr>
        <w:t>）</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2020年财政拨款支出年初预算为</w:t>
      </w:r>
      <w:r>
        <w:rPr>
          <w:rFonts w:hint="eastAsia" w:ascii="仿宋_GB2312" w:hAnsi="宋体" w:eastAsia="仿宋_GB2312" w:cs="仿宋_GB2312"/>
          <w:color w:val="000000"/>
          <w:kern w:val="0"/>
          <w:sz w:val="32"/>
          <w:szCs w:val="32"/>
          <w:lang w:val="en-US" w:eastAsia="zh-CN" w:bidi="ar"/>
        </w:rPr>
        <w:t>24311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70555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290.22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spacing w:line="540" w:lineRule="exact"/>
        <w:ind w:firstLine="643" w:firstLineChars="200"/>
        <w:jc w:val="left"/>
      </w:pPr>
      <w:r>
        <w:rPr>
          <w:rFonts w:ascii="仿宋_GB2312" w:hAnsi="宋体" w:eastAsia="仿宋_GB2312" w:cs="仿宋_GB2312"/>
          <w:b/>
          <w:color w:val="000000"/>
          <w:kern w:val="0"/>
          <w:sz w:val="32"/>
          <w:szCs w:val="32"/>
          <w:lang w:bidi="ar"/>
        </w:rPr>
        <w:t xml:space="preserve">1.一般公共服务支出（类）财政事务（款）行政运行（项）。 </w:t>
      </w:r>
    </w:p>
    <w:p>
      <w:pPr>
        <w:widowControl/>
        <w:spacing w:line="540" w:lineRule="exact"/>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2211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3038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137.4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基本支出增加，财政拨款增加</w:t>
      </w:r>
      <w:r>
        <w:rPr>
          <w:rFonts w:hint="eastAsia" w:ascii="仿宋_GB2312" w:hAnsi="宋体" w:eastAsia="仿宋_GB2312" w:cs="仿宋_GB2312"/>
          <w:color w:val="000000"/>
          <w:kern w:val="0"/>
          <w:sz w:val="32"/>
          <w:szCs w:val="32"/>
          <w:lang w:bidi="ar"/>
        </w:rPr>
        <w:t>。</w:t>
      </w:r>
    </w:p>
    <w:p>
      <w:pPr>
        <w:widowControl/>
        <w:numPr>
          <w:ilvl w:val="0"/>
          <w:numId w:val="1"/>
        </w:numPr>
        <w:spacing w:line="54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教育支出，年初预算为</w:t>
      </w:r>
      <w:r>
        <w:rPr>
          <w:rFonts w:hint="eastAsia" w:ascii="仿宋_GB2312" w:hAnsi="宋体" w:eastAsia="仿宋_GB2312" w:cs="仿宋_GB2312"/>
          <w:color w:val="000000"/>
          <w:kern w:val="0"/>
          <w:sz w:val="32"/>
          <w:szCs w:val="32"/>
          <w:lang w:val="en-US" w:eastAsia="zh-CN" w:bidi="ar"/>
        </w:rPr>
        <w:t>12.7万元，支出为0万元，本年未安排支出</w:t>
      </w:r>
      <w:r>
        <w:rPr>
          <w:rFonts w:hint="eastAsia" w:ascii="仿宋_GB2312" w:hAnsi="宋体" w:eastAsia="仿宋_GB2312" w:cs="仿宋_GB2312"/>
          <w:color w:val="000000"/>
          <w:kern w:val="0"/>
          <w:sz w:val="32"/>
          <w:szCs w:val="32"/>
          <w:lang w:bidi="ar"/>
        </w:rPr>
        <w:t>。</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节能环保支出，年初预算为</w:t>
      </w:r>
      <w:r>
        <w:rPr>
          <w:rFonts w:hint="eastAsia" w:ascii="仿宋_GB2312" w:hAnsi="宋体" w:eastAsia="仿宋_GB2312" w:cs="仿宋_GB2312"/>
          <w:color w:val="000000"/>
          <w:kern w:val="0"/>
          <w:sz w:val="32"/>
          <w:szCs w:val="32"/>
          <w:lang w:val="en-US" w:eastAsia="zh-CN" w:bidi="ar"/>
        </w:rPr>
        <w:t>2141.2万元，支出决算为5046.6万元，完成年初预算的235.7%。</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bidi="ar"/>
        </w:rPr>
        <w:t>。</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城乡社区支出，年初预算为</w:t>
      </w:r>
      <w:r>
        <w:rPr>
          <w:rFonts w:hint="eastAsia" w:ascii="仿宋_GB2312" w:hAnsi="宋体" w:eastAsia="仿宋_GB2312" w:cs="仿宋_GB2312"/>
          <w:color w:val="000000"/>
          <w:kern w:val="0"/>
          <w:sz w:val="32"/>
          <w:szCs w:val="32"/>
          <w:lang w:val="en-US" w:eastAsia="zh-CN" w:bidi="ar"/>
        </w:rPr>
        <w:t>14872万元，支出决算为36188万元，完成年初预算的243.33%。</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资源勘探工业信息等支出，年初预算为</w:t>
      </w:r>
      <w:r>
        <w:rPr>
          <w:rFonts w:hint="eastAsia" w:ascii="仿宋_GB2312" w:hAnsi="宋体" w:eastAsia="仿宋_GB2312" w:cs="仿宋_GB2312"/>
          <w:color w:val="000000"/>
          <w:kern w:val="0"/>
          <w:sz w:val="32"/>
          <w:szCs w:val="32"/>
          <w:lang w:val="en-US" w:eastAsia="zh-CN" w:bidi="ar"/>
        </w:rPr>
        <w:t>0万元，支出决算为1391万元。</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自然资源海洋气象等支出，年初预算为</w:t>
      </w:r>
      <w:r>
        <w:rPr>
          <w:rFonts w:hint="eastAsia" w:ascii="仿宋_GB2312" w:hAnsi="宋体" w:eastAsia="仿宋_GB2312" w:cs="仿宋_GB2312"/>
          <w:color w:val="000000"/>
          <w:kern w:val="0"/>
          <w:sz w:val="32"/>
          <w:szCs w:val="32"/>
          <w:lang w:val="en-US" w:eastAsia="zh-CN" w:bidi="ar"/>
        </w:rPr>
        <w:t>40万元，支出决算为58.6万元，完成年初预算的146.5%。</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其他支出，年初预算为</w:t>
      </w:r>
      <w:r>
        <w:rPr>
          <w:rFonts w:hint="eastAsia" w:ascii="仿宋_GB2312" w:hAnsi="宋体" w:eastAsia="仿宋_GB2312" w:cs="仿宋_GB2312"/>
          <w:color w:val="000000"/>
          <w:kern w:val="0"/>
          <w:sz w:val="32"/>
          <w:szCs w:val="32"/>
          <w:lang w:val="en-US" w:eastAsia="zh-CN" w:bidi="ar"/>
        </w:rPr>
        <w:t>5033.3万元，支出决算为22032.7万元，完成年初预算的437.74%。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widowControl/>
        <w:numPr>
          <w:ilvl w:val="0"/>
          <w:numId w:val="1"/>
        </w:numPr>
        <w:spacing w:line="540" w:lineRule="exact"/>
        <w:ind w:left="0" w:leftChars="0"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抗疫特别国债安排支出，</w:t>
      </w:r>
      <w:r>
        <w:rPr>
          <w:rFonts w:hint="eastAsia" w:ascii="仿宋_GB2312" w:hAnsi="宋体" w:eastAsia="仿宋_GB2312" w:cs="仿宋_GB2312"/>
          <w:color w:val="000000"/>
          <w:kern w:val="0"/>
          <w:sz w:val="32"/>
          <w:szCs w:val="32"/>
          <w:lang w:eastAsia="zh-CN" w:bidi="ar"/>
        </w:rPr>
        <w:t>年初预算为</w:t>
      </w:r>
      <w:r>
        <w:rPr>
          <w:rFonts w:hint="eastAsia" w:ascii="仿宋_GB2312" w:hAnsi="宋体" w:eastAsia="仿宋_GB2312" w:cs="仿宋_GB2312"/>
          <w:color w:val="000000"/>
          <w:kern w:val="0"/>
          <w:sz w:val="32"/>
          <w:szCs w:val="32"/>
          <w:lang w:val="en-US" w:eastAsia="zh-CN" w:bidi="ar"/>
        </w:rPr>
        <w:t>0万元，支出决算为2800万元。</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widowControl/>
        <w:numPr>
          <w:ilvl w:val="0"/>
          <w:numId w:val="0"/>
        </w:numPr>
        <w:spacing w:line="540" w:lineRule="exact"/>
        <w:jc w:val="left"/>
        <w:rPr>
          <w:rFonts w:hint="eastAsia" w:ascii="仿宋_GB2312" w:hAnsi="宋体" w:eastAsia="仿宋_GB2312" w:cs="仿宋_GB2312"/>
          <w:color w:val="000000"/>
          <w:kern w:val="0"/>
          <w:sz w:val="32"/>
          <w:szCs w:val="32"/>
          <w:lang w:bidi="ar"/>
        </w:rPr>
      </w:pPr>
    </w:p>
    <w:p>
      <w:pPr>
        <w:spacing w:line="54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（根据财决Z08-1表等，按经济分类科目说明基本支出具体内容，人员经费和公用经费分别进行说明，具体到款，</w:t>
      </w:r>
      <w:r>
        <w:rPr>
          <w:rFonts w:hint="eastAsia" w:ascii="仿宋_GB2312" w:hAnsi="仿宋_GB2312" w:eastAsia="仿宋_GB2312" w:cs="仿宋_GB2312"/>
          <w:sz w:val="32"/>
          <w:szCs w:val="32"/>
        </w:rPr>
        <w:t>文字说明</w:t>
      </w:r>
      <w:r>
        <w:rPr>
          <w:rFonts w:hint="eastAsia" w:ascii="仿宋_GB2312" w:hAnsi="仿宋" w:eastAsia="仿宋_GB2312"/>
          <w:sz w:val="32"/>
          <w:szCs w:val="32"/>
        </w:rPr>
        <w:t>）</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2020年一般公共预算财政拨款基本支出</w:t>
      </w:r>
      <w:r>
        <w:rPr>
          <w:rFonts w:hint="eastAsia" w:ascii="仿宋_GB2312" w:hAnsi="仿宋_GB2312" w:eastAsia="仿宋_GB2312" w:cs="仿宋_GB2312"/>
          <w:color w:val="000000"/>
          <w:kern w:val="0"/>
          <w:sz w:val="31"/>
          <w:szCs w:val="31"/>
          <w:lang w:val="en-US" w:eastAsia="zh-CN" w:bidi="ar"/>
        </w:rPr>
        <w:t>2361.3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，包括：人员经费支出</w:t>
      </w:r>
      <w:r>
        <w:rPr>
          <w:rFonts w:hint="eastAsia" w:ascii="仿宋_GB2312" w:hAnsi="仿宋_GB2312" w:eastAsia="仿宋_GB2312" w:cs="仿宋_GB2312"/>
          <w:color w:val="000000"/>
          <w:kern w:val="0"/>
          <w:sz w:val="31"/>
          <w:szCs w:val="31"/>
          <w:lang w:val="en-US" w:eastAsia="zh-CN" w:bidi="ar"/>
        </w:rPr>
        <w:t>2168.16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和公用经费支出</w:t>
      </w:r>
      <w:r>
        <w:rPr>
          <w:rFonts w:hint="eastAsia" w:ascii="仿宋_GB2312" w:hAnsi="仿宋_GB2312" w:eastAsia="仿宋_GB2312" w:cs="仿宋_GB2312"/>
          <w:color w:val="000000"/>
          <w:kern w:val="0"/>
          <w:sz w:val="31"/>
          <w:szCs w:val="31"/>
          <w:lang w:val="en-US" w:eastAsia="zh-CN" w:bidi="ar"/>
        </w:rPr>
        <w:t>193.14</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w:t>
      </w:r>
    </w:p>
    <w:p>
      <w:pPr>
        <w:widowControl/>
        <w:spacing w:line="54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2168.16万元</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343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309.9万元；奖金245.5万元；机关养老保险缴费91.4万元；职业年金缴费48.7万元；职工医疗保险缴费78.5万元；其他社会保险缴费2.55万元；住房公积金缴费87.3；其他工资福利474.5；抚恤金0.72万元；生活补助8.7万元；医疗补助27.34万元；奖励金450万元。</w:t>
      </w:r>
    </w:p>
    <w:p>
      <w:pPr>
        <w:widowControl/>
        <w:spacing w:line="540" w:lineRule="exact"/>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193.14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53.74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；取暖费</w:t>
      </w:r>
      <w:r>
        <w:rPr>
          <w:rFonts w:hint="eastAsia" w:ascii="仿宋_GB2312" w:hAnsi="宋体" w:eastAsia="仿宋_GB2312" w:cs="仿宋_GB2312"/>
          <w:color w:val="000000"/>
          <w:kern w:val="0"/>
          <w:sz w:val="32"/>
          <w:szCs w:val="32"/>
          <w:lang w:val="en-US" w:eastAsia="zh-CN" w:bidi="ar"/>
        </w:rPr>
        <w:t>22.4万元；差旅费15.8万元；公务接待费2.5万元；劳务费5.5万元；委托业务费40万元；工会经费20.7万元；公务用车运行维护费12.27万元；其他交通费20.16万元</w:t>
      </w:r>
      <w:r>
        <w:rPr>
          <w:rFonts w:hint="eastAsia" w:ascii="仿宋_GB2312" w:hAnsi="宋体" w:eastAsia="仿宋_GB2312" w:cs="仿宋_GB2312"/>
          <w:color w:val="000000"/>
          <w:kern w:val="0"/>
          <w:sz w:val="32"/>
          <w:szCs w:val="32"/>
          <w:lang w:bidi="ar"/>
        </w:rPr>
        <w:t>。</w:t>
      </w: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spacing w:line="540" w:lineRule="exact"/>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（文字说明）</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2020年“三公”经费财政拨款支出预算为</w:t>
      </w:r>
      <w:r>
        <w:rPr>
          <w:rFonts w:hint="eastAsia" w:ascii="仿宋_GB2312" w:hAnsi="宋体" w:eastAsia="仿宋_GB2312" w:cs="仿宋_GB2312"/>
          <w:color w:val="000000"/>
          <w:kern w:val="0"/>
          <w:sz w:val="32"/>
          <w:szCs w:val="32"/>
          <w:lang w:val="en-US" w:eastAsia="zh-CN" w:bidi="ar"/>
        </w:rPr>
        <w:t>43.2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16.71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38.68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26.49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压缩三公经费开支</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具体情况如下</w:t>
      </w:r>
      <w:r>
        <w:rPr>
          <w:rFonts w:hint="eastAsia" w:ascii="仿宋_GB2312" w:hAnsi="宋体" w:eastAsia="仿宋_GB2312" w:cs="仿宋_GB2312"/>
          <w:color w:val="000000"/>
          <w:kern w:val="0"/>
          <w:sz w:val="32"/>
          <w:szCs w:val="32"/>
          <w:lang w:bidi="ar"/>
        </w:rPr>
        <w:t>：</w:t>
      </w:r>
    </w:p>
    <w:p>
      <w:pPr>
        <w:pStyle w:val="2"/>
        <w:jc w:val="center"/>
      </w:pPr>
      <w:r>
        <w:rPr>
          <w:rFonts w:hint="eastAsia"/>
        </w:rPr>
        <w:drawing>
          <wp:inline distT="0" distB="0" distL="114300" distR="114300">
            <wp:extent cx="4241800" cy="2715260"/>
            <wp:effectExtent l="4445" t="4445" r="2095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hint="eastAsia" w:eastAsia="仿宋_GB2312"/>
          <w:lang w:val="en-US" w:eastAsia="zh-CN"/>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16.5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12.27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74.36</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4.23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出行次数减少</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41.7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接待人次减少</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12.7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0.91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7.2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11.79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培训次数及人次减少</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1.03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12.8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6.97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会议次数及人次减少</w:t>
      </w:r>
      <w:r>
        <w:rPr>
          <w:rFonts w:hint="eastAsia" w:ascii="仿宋_GB2312" w:hAnsi="宋体" w:eastAsia="仿宋_GB2312" w:cs="仿宋_GB2312"/>
          <w:color w:val="000000"/>
          <w:kern w:val="0"/>
          <w:sz w:val="32"/>
          <w:szCs w:val="32"/>
          <w:lang w:bidi="ar"/>
        </w:rPr>
        <w:t>。</w:t>
      </w: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年政府性基金预算财政拨款，本年收入</w:t>
      </w:r>
      <w:r>
        <w:rPr>
          <w:rFonts w:hint="eastAsia" w:ascii="仿宋_GB2312" w:hAnsi="仿宋_GB2312" w:eastAsia="仿宋_GB2312" w:cs="仿宋_GB2312"/>
          <w:sz w:val="32"/>
          <w:szCs w:val="32"/>
          <w:lang w:val="en-US" w:eastAsia="zh-CN"/>
        </w:rPr>
        <w:t>51624.97</w:t>
      </w:r>
      <w:r>
        <w:rPr>
          <w:rFonts w:hint="eastAsia" w:ascii="仿宋_GB2312" w:hAnsi="仿宋_GB2312" w:eastAsia="仿宋_GB2312" w:cs="仿宋_GB2312"/>
          <w:sz w:val="32"/>
          <w:szCs w:val="32"/>
        </w:rPr>
        <w:t>万元，本年支出</w:t>
      </w:r>
      <w:r>
        <w:rPr>
          <w:rFonts w:hint="eastAsia" w:ascii="仿宋_GB2312" w:hAnsi="仿宋_GB2312" w:eastAsia="仿宋_GB2312" w:cs="仿宋_GB2312"/>
          <w:sz w:val="32"/>
          <w:szCs w:val="32"/>
          <w:lang w:val="en-US" w:eastAsia="zh-CN"/>
        </w:rPr>
        <w:t>51624.97</w:t>
      </w:r>
      <w:r>
        <w:rPr>
          <w:rFonts w:hint="eastAsia" w:ascii="仿宋_GB2312" w:hAnsi="仿宋_GB2312" w:eastAsia="仿宋_GB2312" w:cs="仿宋_GB2312"/>
          <w:sz w:val="32"/>
          <w:szCs w:val="32"/>
        </w:rPr>
        <w:t>万元。</w:t>
      </w:r>
    </w:p>
    <w:p>
      <w:pPr>
        <w:spacing w:line="540" w:lineRule="exact"/>
        <w:ind w:firstLine="640" w:firstLineChars="200"/>
        <w:rPr>
          <w:rFonts w:ascii="黑体" w:hAnsi="黑体" w:eastAsia="黑体"/>
          <w:sz w:val="32"/>
          <w:szCs w:val="32"/>
        </w:rPr>
      </w:pPr>
      <w:r>
        <w:rPr>
          <w:rFonts w:hint="eastAsia" w:ascii="黑体" w:hAnsi="黑体" w:eastAsia="黑体"/>
          <w:color w:val="000000"/>
          <w:kern w:val="0"/>
          <w:sz w:val="32"/>
          <w:szCs w:val="32"/>
          <w:lang w:eastAsia="zh-CN" w:bidi="ar"/>
        </w:rPr>
        <w:t>九</w:t>
      </w:r>
      <w:r>
        <w:rPr>
          <w:rFonts w:hint="eastAsia" w:ascii="黑体" w:hAnsi="黑体" w:eastAsia="黑体"/>
          <w:color w:val="000000"/>
          <w:kern w:val="0"/>
          <w:sz w:val="32"/>
          <w:szCs w:val="32"/>
          <w:lang w:bidi="ar"/>
        </w:rPr>
        <w:t>、其他重要事项说明</w:t>
      </w:r>
    </w:p>
    <w:p>
      <w:pPr>
        <w:widowControl/>
        <w:spacing w:line="540" w:lineRule="exact"/>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40" w:lineRule="exact"/>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2020年机关运行经费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93.3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193.14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207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99.84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机关运行费用增加</w:t>
      </w:r>
      <w:r>
        <w:rPr>
          <w:rFonts w:hint="eastAsia" w:ascii="仿宋_GB2312" w:hAnsi="宋体" w:eastAsia="仿宋_GB2312" w:cs="仿宋_GB2312"/>
          <w:color w:val="000000"/>
          <w:kern w:val="0"/>
          <w:sz w:val="32"/>
          <w:szCs w:val="32"/>
          <w:lang w:bidi="ar"/>
        </w:rPr>
        <w:t>。</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1798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445</w:t>
      </w:r>
      <w:r>
        <w:rPr>
          <w:rFonts w:hint="eastAsia" w:ascii="仿宋_GB2312" w:hAnsi="仿宋_GB2312" w:eastAsia="仿宋_GB2312" w:cs="仿宋_GB2312"/>
          <w:sz w:val="32"/>
          <w:szCs w:val="32"/>
        </w:rPr>
        <w:t>万元。</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spacing w:line="540" w:lineRule="exact"/>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截至20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540" w:lineRule="exact"/>
        <w:jc w:val="center"/>
        <w:rPr>
          <w:sz w:val="44"/>
          <w:szCs w:val="44"/>
        </w:rPr>
      </w:pPr>
      <w:r>
        <w:rPr>
          <w:rFonts w:hint="eastAsia" w:ascii="黑体" w:hAnsi="宋体" w:eastAsia="黑体"/>
          <w:color w:val="000000"/>
          <w:kern w:val="0"/>
          <w:sz w:val="44"/>
          <w:szCs w:val="44"/>
          <w:lang w:bidi="ar"/>
        </w:rPr>
        <w:t>第三部分 专业名词解释</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r>
        <w:rPr>
          <w:rFonts w:ascii="黑体" w:hAnsi="宋体" w:eastAsia="黑体"/>
          <w:color w:val="000000"/>
          <w:kern w:val="0"/>
          <w:sz w:val="44"/>
          <w:szCs w:val="44"/>
          <w:lang w:bidi="ar"/>
        </w:rPr>
        <w:t>第</w:t>
      </w:r>
      <w:r>
        <w:rPr>
          <w:rFonts w:hint="eastAsia" w:ascii="黑体" w:hAnsi="宋体" w:eastAsia="黑体"/>
          <w:color w:val="000000"/>
          <w:kern w:val="0"/>
          <w:sz w:val="44"/>
          <w:szCs w:val="44"/>
          <w:lang w:bidi="ar"/>
        </w:rPr>
        <w:t>四</w:t>
      </w:r>
      <w:r>
        <w:rPr>
          <w:rFonts w:ascii="黑体" w:hAnsi="宋体" w:eastAsia="黑体"/>
          <w:color w:val="000000"/>
          <w:kern w:val="0"/>
          <w:sz w:val="44"/>
          <w:szCs w:val="44"/>
          <w:lang w:bidi="ar"/>
        </w:rPr>
        <w:t>部分 2020年度部门决算</w:t>
      </w:r>
      <w:r>
        <w:rPr>
          <w:rFonts w:hint="eastAsia" w:ascii="黑体" w:hAnsi="宋体" w:eastAsia="黑体"/>
          <w:color w:val="000000"/>
          <w:kern w:val="0"/>
          <w:sz w:val="44"/>
          <w:szCs w:val="44"/>
          <w:lang w:bidi="ar"/>
        </w:rPr>
        <w:t>公开</w:t>
      </w:r>
      <w:r>
        <w:rPr>
          <w:rFonts w:ascii="黑体" w:hAnsi="宋体" w:eastAsia="黑体"/>
          <w:color w:val="000000"/>
          <w:kern w:val="0"/>
          <w:sz w:val="44"/>
          <w:szCs w:val="44"/>
          <w:lang w:bidi="ar"/>
        </w:rPr>
        <w:t>表</w:t>
      </w:r>
    </w:p>
    <w:p>
      <w:pPr>
        <w:widowControl/>
        <w:jc w:val="center"/>
        <w:rPr>
          <w:rFonts w:ascii="黑体" w:hAnsi="宋体" w:eastAsia="黑体"/>
          <w:color w:val="000000"/>
          <w:kern w:val="0"/>
          <w:sz w:val="44"/>
          <w:szCs w:val="44"/>
          <w:lang w:bidi="ar"/>
        </w:rPr>
      </w:pPr>
    </w:p>
    <w:p>
      <w:pPr>
        <w:widowControl/>
        <w:rPr>
          <w:sz w:val="44"/>
          <w:szCs w:val="44"/>
        </w:rPr>
      </w:pPr>
    </w:p>
    <w:tbl>
      <w:tblPr>
        <w:tblStyle w:val="7"/>
        <w:tblpPr w:leftFromText="180" w:rightFromText="180" w:vertAnchor="text" w:horzAnchor="page" w:tblpX="1407" w:tblpY="805"/>
        <w:tblOverlap w:val="never"/>
        <w:tblW w:w="9029" w:type="dxa"/>
        <w:tblInd w:w="0" w:type="dxa"/>
        <w:tblLayout w:type="fixed"/>
        <w:tblCellMar>
          <w:top w:w="0" w:type="dxa"/>
          <w:left w:w="0" w:type="dxa"/>
          <w:bottom w:w="0" w:type="dxa"/>
          <w:right w:w="0" w:type="dxa"/>
        </w:tblCellMar>
      </w:tblPr>
      <w:tblGrid>
        <w:gridCol w:w="735"/>
        <w:gridCol w:w="4809"/>
        <w:gridCol w:w="708"/>
        <w:gridCol w:w="2777"/>
      </w:tblGrid>
      <w:tr>
        <w:tblPrEx>
          <w:tblLayout w:type="fixed"/>
          <w:tblCellMar>
            <w:top w:w="0" w:type="dxa"/>
            <w:left w:w="0" w:type="dxa"/>
            <w:bottom w:w="0" w:type="dxa"/>
            <w:right w:w="0" w:type="dxa"/>
          </w:tblCellMar>
        </w:tblPrEx>
        <w:trPr>
          <w:trHeight w:val="6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bookmarkStart w:id="0" w:name="_GoBack"/>
            <w:bookmarkEnd w:id="0"/>
            <w:r>
              <w:rPr>
                <w:rFonts w:hint="eastAsia" w:ascii="黑体" w:hAnsi="宋体" w:eastAsia="黑体"/>
                <w:color w:val="000000"/>
                <w:kern w:val="0"/>
                <w:sz w:val="24"/>
                <w:lang w:bidi="ar"/>
              </w:rPr>
              <w:t>序号</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Layout w:type="fixed"/>
          <w:tblCellMar>
            <w:top w:w="0" w:type="dxa"/>
            <w:left w:w="0" w:type="dxa"/>
            <w:bottom w:w="0" w:type="dxa"/>
            <w:right w:w="0" w:type="dxa"/>
          </w:tblCellMar>
        </w:tblPrEx>
        <w:trPr>
          <w:trHeight w:val="5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1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19"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1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7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8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29"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8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7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9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8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表9</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国有资本经营预算财政拨款支出决算表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空</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69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表10</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部门项目绩效目标自评表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35" w:type="dxa"/>
            <w:vAlign w:val="center"/>
          </w:tcPr>
          <w:p>
            <w:pPr>
              <w:widowControl/>
              <w:jc w:val="center"/>
              <w:textAlignment w:val="center"/>
              <w:rPr>
                <w:rFonts w:ascii="仿宋_GB2312" w:hAnsi="仿宋_GB2312" w:eastAsia="仿宋_GB2312" w:cs="仿宋_GB2312"/>
                <w:color w:val="000000"/>
                <w:kern w:val="0"/>
                <w:sz w:val="28"/>
                <w:szCs w:val="32"/>
                <w:lang w:bidi="ar"/>
              </w:rPr>
            </w:pPr>
            <w:r>
              <w:rPr>
                <w:rFonts w:ascii="宋体" w:hAnsi="宋体" w:cs="宋体"/>
                <w:color w:val="000000"/>
                <w:kern w:val="0"/>
                <w:sz w:val="24"/>
                <w:lang w:bidi="ar"/>
              </w:rPr>
              <w:t>表</w:t>
            </w:r>
            <w:r>
              <w:rPr>
                <w:rFonts w:hint="eastAsia" w:ascii="宋体" w:hAnsi="宋体" w:cs="宋体"/>
                <w:color w:val="000000"/>
                <w:kern w:val="0"/>
                <w:sz w:val="24"/>
                <w:lang w:bidi="ar"/>
              </w:rPr>
              <w:t>11</w:t>
            </w:r>
          </w:p>
        </w:tc>
        <w:tc>
          <w:tcPr>
            <w:tcW w:w="4809" w:type="dxa"/>
            <w:vAlign w:val="center"/>
          </w:tcPr>
          <w:p>
            <w:pPr>
              <w:rPr>
                <w:rFonts w:ascii="仿宋_GB2312" w:hAnsi="仿宋_GB2312" w:eastAsia="仿宋_GB2312" w:cs="仿宋_GB2312"/>
                <w:color w:val="000000"/>
                <w:kern w:val="0"/>
                <w:sz w:val="32"/>
                <w:szCs w:val="32"/>
                <w:lang w:bidi="ar"/>
              </w:rPr>
            </w:pPr>
            <w:r>
              <w:rPr>
                <w:rFonts w:hint="eastAsia" w:ascii="宋体" w:hAnsi="宋体" w:cs="宋体"/>
                <w:color w:val="000000"/>
                <w:kern w:val="0"/>
                <w:sz w:val="24"/>
                <w:lang w:bidi="ar"/>
              </w:rPr>
              <w:t>部门整体绩效目标自评表</w:t>
            </w:r>
          </w:p>
        </w:tc>
        <w:tc>
          <w:tcPr>
            <w:tcW w:w="708" w:type="dxa"/>
          </w:tcPr>
          <w:p>
            <w:pPr>
              <w:jc w:val="left"/>
              <w:rPr>
                <w:rFonts w:ascii="仿宋_GB2312" w:hAnsi="仿宋_GB2312" w:eastAsia="仿宋_GB2312" w:cs="仿宋_GB2312"/>
                <w:color w:val="000000"/>
                <w:kern w:val="0"/>
                <w:sz w:val="32"/>
                <w:szCs w:val="32"/>
                <w:lang w:bidi="ar"/>
              </w:rPr>
            </w:pPr>
          </w:p>
        </w:tc>
        <w:tc>
          <w:tcPr>
            <w:tcW w:w="2777" w:type="dxa"/>
          </w:tcPr>
          <w:p>
            <w:pPr>
              <w:jc w:val="left"/>
              <w:rPr>
                <w:rFonts w:ascii="仿宋_GB2312" w:hAnsi="仿宋_GB2312" w:eastAsia="仿宋_GB2312" w:cs="仿宋_GB2312"/>
                <w:color w:val="000000"/>
                <w:kern w:val="0"/>
                <w:sz w:val="32"/>
                <w:szCs w:val="32"/>
                <w:lang w:bidi="ar"/>
              </w:rPr>
            </w:pPr>
          </w:p>
        </w:tc>
      </w:tr>
    </w:tbl>
    <w:p>
      <w:pPr>
        <w:jc w:val="left"/>
        <w:rPr>
          <w:rFonts w:ascii="仿宋_GB2312" w:hAnsi="仿宋_GB2312" w:eastAsia="仿宋_GB2312" w:cs="仿宋_GB2312"/>
          <w:color w:val="000000"/>
          <w:kern w:val="0"/>
          <w:sz w:val="32"/>
          <w:szCs w:val="32"/>
          <w:lang w:bidi="ar"/>
        </w:rPr>
      </w:pPr>
    </w:p>
    <w:p>
      <w:pPr>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部门决算公开表1--表9及绩效自评表10、表11电子表附后。公开表在批复表的基础上将表名中批复或PF修改为公开</w:t>
      </w:r>
    </w:p>
    <w:p>
      <w:pPr>
        <w:jc w:val="lef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-485140</wp:posOffset>
              </wp:positionV>
              <wp:extent cx="461645" cy="631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645" cy="631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8.2pt;height:49.7pt;width:36.35pt;mso-position-horizontal:outside;mso-position-horizontal-relative:margin;z-index:251659264;mso-width-relative:page;mso-height-relative:page;" filled="f" stroked="f" coordsize="21600,21600" o:gfxdata="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PDSPVAAAABgEAAA8AAAAAAAAAAQAg&#10;AAAAIgAAAGRycy9kb3ducmV2LnhtbFBLAQIUABQAAAAIAIdO4kBjBxy9EQIAAAcEAAAOAAAAAAAA&#10;AAEAIAAAACQBAABkcnMvZTJvRG9jLnhtbFBLBQYAAAAABgAGAFkBAACnBQAAAAA=&#10;">
              <v:fill on="f" focussize="0,0"/>
              <v:stroke on="f" weight="0.5pt"/>
              <v:imagedata o:title=""/>
              <o:lock v:ext="edit" aspectratio="f"/>
              <v:textbox inset="0mm,0mm,0mm,0mm">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2FA1"/>
    <w:multiLevelType w:val="singleLevel"/>
    <w:tmpl w:val="00FC2FA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409D7"/>
    <w:rsid w:val="00025A39"/>
    <w:rsid w:val="00063EEE"/>
    <w:rsid w:val="00075109"/>
    <w:rsid w:val="000B6922"/>
    <w:rsid w:val="000E2718"/>
    <w:rsid w:val="0013041E"/>
    <w:rsid w:val="001C3A1E"/>
    <w:rsid w:val="0027560B"/>
    <w:rsid w:val="00294BB5"/>
    <w:rsid w:val="003166F7"/>
    <w:rsid w:val="00321299"/>
    <w:rsid w:val="00324CA6"/>
    <w:rsid w:val="00371A36"/>
    <w:rsid w:val="003765AB"/>
    <w:rsid w:val="003E5CDF"/>
    <w:rsid w:val="003E6F37"/>
    <w:rsid w:val="0058773C"/>
    <w:rsid w:val="00594057"/>
    <w:rsid w:val="005A45A9"/>
    <w:rsid w:val="005B708B"/>
    <w:rsid w:val="0064214D"/>
    <w:rsid w:val="006508F6"/>
    <w:rsid w:val="00650EED"/>
    <w:rsid w:val="00685D2C"/>
    <w:rsid w:val="007A68ED"/>
    <w:rsid w:val="007E69C7"/>
    <w:rsid w:val="008A7E43"/>
    <w:rsid w:val="008C5F3D"/>
    <w:rsid w:val="008E1065"/>
    <w:rsid w:val="0093111E"/>
    <w:rsid w:val="009379F9"/>
    <w:rsid w:val="00974615"/>
    <w:rsid w:val="00A3054D"/>
    <w:rsid w:val="00A67989"/>
    <w:rsid w:val="00A93EB8"/>
    <w:rsid w:val="00AA182E"/>
    <w:rsid w:val="00B1152C"/>
    <w:rsid w:val="00B376CE"/>
    <w:rsid w:val="00BC469A"/>
    <w:rsid w:val="00BE6B71"/>
    <w:rsid w:val="00BF3B78"/>
    <w:rsid w:val="00C23EEE"/>
    <w:rsid w:val="00C874A8"/>
    <w:rsid w:val="00CA3AED"/>
    <w:rsid w:val="00CB1A62"/>
    <w:rsid w:val="00CE6517"/>
    <w:rsid w:val="00D033FD"/>
    <w:rsid w:val="00D1096D"/>
    <w:rsid w:val="00D12082"/>
    <w:rsid w:val="00D17A92"/>
    <w:rsid w:val="00D4329A"/>
    <w:rsid w:val="00DB1B6D"/>
    <w:rsid w:val="00DB355C"/>
    <w:rsid w:val="00E523B4"/>
    <w:rsid w:val="00EB1B04"/>
    <w:rsid w:val="00F3168C"/>
    <w:rsid w:val="00F32DB1"/>
    <w:rsid w:val="00F7769E"/>
    <w:rsid w:val="00FB3002"/>
    <w:rsid w:val="023A3B4A"/>
    <w:rsid w:val="02686329"/>
    <w:rsid w:val="032A1971"/>
    <w:rsid w:val="03D8293A"/>
    <w:rsid w:val="041D5DC5"/>
    <w:rsid w:val="043709C1"/>
    <w:rsid w:val="04504E1D"/>
    <w:rsid w:val="0465035A"/>
    <w:rsid w:val="05866892"/>
    <w:rsid w:val="059607CC"/>
    <w:rsid w:val="0A567314"/>
    <w:rsid w:val="0B3230F5"/>
    <w:rsid w:val="0CF324D4"/>
    <w:rsid w:val="0E5D7FC7"/>
    <w:rsid w:val="0FBF7414"/>
    <w:rsid w:val="107A745F"/>
    <w:rsid w:val="10A84DA1"/>
    <w:rsid w:val="11B63FF2"/>
    <w:rsid w:val="12304A42"/>
    <w:rsid w:val="13FC5BF7"/>
    <w:rsid w:val="142C397A"/>
    <w:rsid w:val="15AE1895"/>
    <w:rsid w:val="1665387A"/>
    <w:rsid w:val="16661054"/>
    <w:rsid w:val="16D361FF"/>
    <w:rsid w:val="185908D5"/>
    <w:rsid w:val="18B56796"/>
    <w:rsid w:val="19574189"/>
    <w:rsid w:val="19EA5F18"/>
    <w:rsid w:val="1AB210C7"/>
    <w:rsid w:val="1B806142"/>
    <w:rsid w:val="1D8B48DF"/>
    <w:rsid w:val="1DDE24F4"/>
    <w:rsid w:val="1E27206D"/>
    <w:rsid w:val="1EB32EBC"/>
    <w:rsid w:val="1EBC4444"/>
    <w:rsid w:val="224D6AB7"/>
    <w:rsid w:val="22C770F3"/>
    <w:rsid w:val="250E6398"/>
    <w:rsid w:val="25B44801"/>
    <w:rsid w:val="27143DC3"/>
    <w:rsid w:val="284409D7"/>
    <w:rsid w:val="29675564"/>
    <w:rsid w:val="29ED4AD6"/>
    <w:rsid w:val="2ABC36D3"/>
    <w:rsid w:val="2CD8245C"/>
    <w:rsid w:val="2D1C0132"/>
    <w:rsid w:val="2D2B0472"/>
    <w:rsid w:val="2D5D4AFC"/>
    <w:rsid w:val="2E910739"/>
    <w:rsid w:val="2F91769C"/>
    <w:rsid w:val="2F9C25C2"/>
    <w:rsid w:val="309C6F08"/>
    <w:rsid w:val="30D37503"/>
    <w:rsid w:val="3162333B"/>
    <w:rsid w:val="33422398"/>
    <w:rsid w:val="34C5670B"/>
    <w:rsid w:val="3530374A"/>
    <w:rsid w:val="36134B1C"/>
    <w:rsid w:val="36F80234"/>
    <w:rsid w:val="371C45D4"/>
    <w:rsid w:val="39A731FB"/>
    <w:rsid w:val="39DD56D1"/>
    <w:rsid w:val="3A317997"/>
    <w:rsid w:val="3A3A716D"/>
    <w:rsid w:val="3B070AD5"/>
    <w:rsid w:val="3BF77A47"/>
    <w:rsid w:val="3DFF21BE"/>
    <w:rsid w:val="3F900F14"/>
    <w:rsid w:val="40132A59"/>
    <w:rsid w:val="41C05D9A"/>
    <w:rsid w:val="42265A78"/>
    <w:rsid w:val="42393A1C"/>
    <w:rsid w:val="434F53FA"/>
    <w:rsid w:val="437C27C3"/>
    <w:rsid w:val="44EA6961"/>
    <w:rsid w:val="45C61FB8"/>
    <w:rsid w:val="461B4ABC"/>
    <w:rsid w:val="46303F33"/>
    <w:rsid w:val="467E6DEB"/>
    <w:rsid w:val="4999106D"/>
    <w:rsid w:val="4B284025"/>
    <w:rsid w:val="4CAF113F"/>
    <w:rsid w:val="4DA66504"/>
    <w:rsid w:val="4E192504"/>
    <w:rsid w:val="4F1C6214"/>
    <w:rsid w:val="50100350"/>
    <w:rsid w:val="517C69BA"/>
    <w:rsid w:val="519C60A1"/>
    <w:rsid w:val="51D62008"/>
    <w:rsid w:val="51EE77C2"/>
    <w:rsid w:val="5272389B"/>
    <w:rsid w:val="52D741A7"/>
    <w:rsid w:val="53107DBA"/>
    <w:rsid w:val="53F70246"/>
    <w:rsid w:val="546D2C71"/>
    <w:rsid w:val="55EB5B8F"/>
    <w:rsid w:val="56F43102"/>
    <w:rsid w:val="57EE3F83"/>
    <w:rsid w:val="586C6D8B"/>
    <w:rsid w:val="58B9154F"/>
    <w:rsid w:val="59070D74"/>
    <w:rsid w:val="5A1745A0"/>
    <w:rsid w:val="5A655F9F"/>
    <w:rsid w:val="5BAB3AF1"/>
    <w:rsid w:val="5BB71449"/>
    <w:rsid w:val="5C090167"/>
    <w:rsid w:val="5D064220"/>
    <w:rsid w:val="5E197A49"/>
    <w:rsid w:val="5EC40C8F"/>
    <w:rsid w:val="5F1F3061"/>
    <w:rsid w:val="5F524CB7"/>
    <w:rsid w:val="614145B1"/>
    <w:rsid w:val="614E7B0F"/>
    <w:rsid w:val="62054606"/>
    <w:rsid w:val="62CD74DC"/>
    <w:rsid w:val="64451B48"/>
    <w:rsid w:val="6726174B"/>
    <w:rsid w:val="6AD3369B"/>
    <w:rsid w:val="6BF561C9"/>
    <w:rsid w:val="6C490C58"/>
    <w:rsid w:val="6C6F32A8"/>
    <w:rsid w:val="6D97553A"/>
    <w:rsid w:val="6F7022DA"/>
    <w:rsid w:val="711E58C1"/>
    <w:rsid w:val="72077AFD"/>
    <w:rsid w:val="72572205"/>
    <w:rsid w:val="726D6004"/>
    <w:rsid w:val="72B60AAA"/>
    <w:rsid w:val="74D20B3D"/>
    <w:rsid w:val="75B34EA5"/>
    <w:rsid w:val="77841108"/>
    <w:rsid w:val="781143B1"/>
    <w:rsid w:val="7879712D"/>
    <w:rsid w:val="78B1068C"/>
    <w:rsid w:val="7A37004F"/>
    <w:rsid w:val="7A3B3B6B"/>
    <w:rsid w:val="7B890B5A"/>
    <w:rsid w:val="7BCA35ED"/>
    <w:rsid w:val="7F1F0DB7"/>
    <w:rsid w:val="7FCC16B9"/>
    <w:rsid w:val="7FCC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Sheet1!$C$1</c:f>
              <c:strCache>
                <c:ptCount val="1"/>
                <c:pt idx="0">
                  <c:v>实有人数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numRef>
              <c:f>Sheet1!$B$2:$B$4</c:f>
              <c:numCache>
                <c:formatCode>General</c:formatCode>
                <c:ptCount val="3"/>
                <c:pt idx="0">
                  <c:v>97</c:v>
                </c:pt>
                <c:pt idx="1">
                  <c:v>9</c:v>
                </c:pt>
                <c:pt idx="2">
                  <c:v>88</c:v>
                </c:pt>
              </c:numCache>
            </c:numRef>
          </c:cat>
          <c:val>
            <c:numRef>
              <c:f>Sheet1!$C$2:$C$4</c:f>
              <c:numCache>
                <c:formatCode>General</c:formatCode>
                <c:ptCount val="3"/>
                <c:pt idx="0">
                  <c:v>96</c:v>
                </c:pt>
                <c:pt idx="1">
                  <c:v>81</c:v>
                </c:pt>
                <c:pt idx="2">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7142857143"/>
          <c:y val="0.0562248995983936"/>
          <c:w val="0.493261455525606"/>
          <c:h val="0.799196787148594"/>
        </c:manualLayout>
      </c:layout>
      <c:barChart>
        <c:barDir val="col"/>
        <c:grouping val="clustered"/>
        <c:varyColors val="0"/>
        <c:ser>
          <c:idx val="0"/>
          <c:order val="0"/>
          <c:tx>
            <c:strRef>
              <c:f>Sheet1!$A$2</c:f>
              <c:strCache>
                <c:ptCount val="1"/>
                <c:pt idx="0">
                  <c:v>收入（万元）</c:v>
                </c:pt>
              </c:strCache>
            </c:strRef>
          </c:tx>
          <c:spPr>
            <a:solidFill>
              <a:srgbClr val="9999FF"/>
            </a:solidFill>
            <a:ln w="11771">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34638</c:v>
                </c:pt>
                <c:pt idx="1">
                  <c:v>70555</c:v>
                </c:pt>
              </c:numCache>
            </c:numRef>
          </c:val>
        </c:ser>
        <c:ser>
          <c:idx val="1"/>
          <c:order val="1"/>
          <c:tx>
            <c:strRef>
              <c:f>Sheet1!$A$3</c:f>
              <c:strCache>
                <c:ptCount val="1"/>
                <c:pt idx="0">
                  <c:v>支出（万元）</c:v>
                </c:pt>
              </c:strCache>
            </c:strRef>
          </c:tx>
          <c:spPr>
            <a:solidFill>
              <a:srgbClr val="993366"/>
            </a:solidFill>
            <a:ln w="11771">
              <a:solidFill>
                <a:srgbClr val="000000"/>
              </a:solidFill>
              <a:prstDash val="solid"/>
            </a:ln>
          </c:spPr>
          <c:invertIfNegative val="0"/>
          <c:dLbls>
            <c:delete val="1"/>
          </c:dLbls>
          <c:cat>
            <c:strRef>
              <c:f>Sheet1!$B$1:$C$1</c:f>
              <c:strCache>
                <c:ptCount val="2"/>
                <c:pt idx="0">
                  <c:v>2019年</c:v>
                </c:pt>
                <c:pt idx="1">
                  <c:v>2020年</c:v>
                </c:pt>
              </c:strCache>
            </c:strRef>
          </c:cat>
          <c:val>
            <c:numRef>
              <c:f>Sheet1!$B$3:$C$3</c:f>
              <c:numCache>
                <c:formatCode>General</c:formatCode>
                <c:ptCount val="2"/>
                <c:pt idx="0">
                  <c:v>34638</c:v>
                </c:pt>
                <c:pt idx="1">
                  <c:v>70555</c:v>
                </c:pt>
              </c:numCache>
            </c:numRef>
          </c:val>
        </c:ser>
        <c:dLbls>
          <c:showLegendKey val="0"/>
          <c:showVal val="0"/>
          <c:showCatName val="0"/>
          <c:showSerName val="0"/>
          <c:showPercent val="0"/>
          <c:showBubbleSize val="0"/>
        </c:dLbls>
        <c:gapWidth val="150"/>
        <c:axId val="20894464"/>
        <c:axId val="20896000"/>
      </c:barChart>
      <c:catAx>
        <c:axId val="20894464"/>
        <c:scaling>
          <c:orientation val="minMax"/>
        </c:scaling>
        <c:delete val="0"/>
        <c:axPos val="b"/>
        <c:numFmt formatCode="General" sourceLinked="1"/>
        <c:majorTickMark val="in"/>
        <c:minorTickMark val="none"/>
        <c:tickLblPos val="low"/>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96000"/>
        <c:crosses val="autoZero"/>
        <c:auto val="1"/>
        <c:lblAlgn val="ctr"/>
        <c:lblOffset val="100"/>
        <c:tickLblSkip val="1"/>
        <c:noMultiLvlLbl val="0"/>
      </c:catAx>
      <c:valAx>
        <c:axId val="20896000"/>
        <c:scaling>
          <c:orientation val="minMax"/>
        </c:scaling>
        <c:delete val="0"/>
        <c:axPos val="l"/>
        <c:majorGridlines>
          <c:spPr>
            <a:ln w="2943" cap="flat" cmpd="sng" algn="ctr">
              <a:solidFill>
                <a:srgbClr val="000000"/>
              </a:solidFill>
              <a:prstDash val="solid"/>
              <a:round/>
            </a:ln>
          </c:spPr>
        </c:majorGridlines>
        <c:numFmt formatCode="General" sourceLinked="1"/>
        <c:majorTickMark val="in"/>
        <c:minorTickMark val="none"/>
        <c:tickLblPos val="nextTo"/>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9446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65768194070081"/>
          <c:y val="0.413654618473896"/>
          <c:w val="0.323450134770889"/>
          <c:h val="0.172690763052209"/>
        </c:manualLayout>
      </c:layout>
      <c:overlay val="0"/>
      <c:spPr>
        <a:noFill/>
        <a:ln w="2943">
          <a:solidFill>
            <a:srgbClr val="000000"/>
          </a:solidFill>
          <a:prstDash val="solid"/>
        </a:ln>
      </c:spPr>
      <c:txPr>
        <a:bodyPr rot="0" spcFirstLastPara="0" vertOverflow="ellipsis" vert="horz" wrap="square" anchor="ctr" anchorCtr="1"/>
        <a:lstStyle/>
        <a:p>
          <a:pPr>
            <a:defRPr lang="zh-CN" sz="10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111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Lbls>
            <c:delete val="1"/>
          </c:dLbls>
          <c:cat>
            <c:strRef>
              <c:f>Sheet1!$A$2</c:f>
              <c:strCache>
                <c:ptCount val="1"/>
                <c:pt idx="0">
                  <c:v>财政拨款收入</c:v>
                </c:pt>
              </c:strCache>
            </c:strRef>
          </c:cat>
          <c:val>
            <c:numRef>
              <c:f>Sheet1!$B$2</c:f>
              <c:numCache>
                <c:formatCode>General</c:formatCode>
                <c:ptCount val="1"/>
                <c:pt idx="0">
                  <c:v>70555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2361</c:v>
                </c:pt>
                <c:pt idx="1">
                  <c:v>68194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34638</c:v>
                </c:pt>
                <c:pt idx="1">
                  <c:v>70555</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2019年</c:v>
                </c:pt>
                <c:pt idx="1">
                  <c:v>2020年</c:v>
                </c:pt>
              </c:strCache>
            </c:strRef>
          </c:cat>
          <c:val>
            <c:numRef>
              <c:f>Sheet1!$C$2:$C$3</c:f>
              <c:numCache>
                <c:formatCode>General</c:formatCode>
                <c:ptCount val="2"/>
                <c:pt idx="0">
                  <c:v>34638</c:v>
                </c:pt>
                <c:pt idx="1">
                  <c:v>70555</c:v>
                </c:pt>
              </c:numCache>
            </c:numRef>
          </c:val>
        </c:ser>
        <c:dLbls>
          <c:showLegendKey val="0"/>
          <c:showVal val="0"/>
          <c:showCatName val="0"/>
          <c:showSerName val="0"/>
          <c:showPercent val="0"/>
          <c:showBubbleSize val="0"/>
        </c:dLbls>
        <c:gapWidth val="150"/>
        <c:axId val="20905344"/>
        <c:axId val="171918464"/>
      </c:barChart>
      <c:catAx>
        <c:axId val="20905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918464"/>
        <c:crosses val="autoZero"/>
        <c:auto val="1"/>
        <c:lblAlgn val="ctr"/>
        <c:lblOffset val="100"/>
        <c:noMultiLvlLbl val="0"/>
      </c:catAx>
      <c:valAx>
        <c:axId val="171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905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一般公共预算财政拨款收入</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21742</c:v>
                </c:pt>
                <c:pt idx="1">
                  <c:v>18930</c:v>
                </c:pt>
              </c:numCache>
            </c:numRef>
          </c:val>
        </c:ser>
        <c:ser>
          <c:idx val="1"/>
          <c:order val="1"/>
          <c:tx>
            <c:strRef>
              <c:f>Sheet1!$C$1</c:f>
              <c:strCache>
                <c:ptCount val="1"/>
                <c:pt idx="0">
                  <c:v>一般公共预算财政拨款支出</c:v>
                </c:pt>
              </c:strCache>
            </c:strRef>
          </c:tx>
          <c:invertIfNegative val="0"/>
          <c:dLbls>
            <c:delete val="1"/>
          </c:dLbls>
          <c:cat>
            <c:strRef>
              <c:f>Sheet1!$A$2:$A$3</c:f>
              <c:strCache>
                <c:ptCount val="2"/>
                <c:pt idx="0">
                  <c:v>2019年</c:v>
                </c:pt>
                <c:pt idx="1">
                  <c:v>2020年</c:v>
                </c:pt>
              </c:strCache>
            </c:strRef>
          </c:cat>
          <c:val>
            <c:numRef>
              <c:f>Sheet1!$C$2:$C$3</c:f>
              <c:numCache>
                <c:formatCode>General</c:formatCode>
                <c:ptCount val="2"/>
                <c:pt idx="0">
                  <c:v>21742</c:v>
                </c:pt>
                <c:pt idx="1">
                  <c:v>18930</c:v>
                </c:pt>
              </c:numCache>
            </c:numRef>
          </c:val>
        </c:ser>
        <c:dLbls>
          <c:showLegendKey val="0"/>
          <c:showVal val="0"/>
          <c:showCatName val="0"/>
          <c:showSerName val="0"/>
          <c:showPercent val="0"/>
          <c:showBubbleSize val="0"/>
        </c:dLbls>
        <c:gapWidth val="150"/>
        <c:axId val="20849792"/>
        <c:axId val="20851328"/>
      </c:barChart>
      <c:catAx>
        <c:axId val="208497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851328"/>
        <c:crosses val="autoZero"/>
        <c:auto val="1"/>
        <c:lblAlgn val="ctr"/>
        <c:lblOffset val="100"/>
        <c:noMultiLvlLbl val="0"/>
      </c:catAx>
      <c:valAx>
        <c:axId val="208513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8497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金    额</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alpha val="72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741</Words>
  <Characters>4225</Characters>
  <Lines>35</Lines>
  <Paragraphs>9</Paragraphs>
  <TotalTime>21</TotalTime>
  <ScaleCrop>false</ScaleCrop>
  <LinksUpToDate>false</LinksUpToDate>
  <CharactersWithSpaces>4957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2020-09-15T09:03:00Z</dcterms:created>
  <dc:creator>无所谓</dc:creator>
  <cp:lastModifiedBy>Administrator</cp:lastModifiedBy>
  <cp:lastPrinted>2021-09-01T02:06:23Z</cp:lastPrinted>
  <dcterms:modified xsi:type="dcterms:W3CDTF">2021-09-01T02:08:15Z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6ECD9082D8CC41258ACEC4E4432CEBF7</vt:lpwstr>
  </property>
</Properties>
</file>