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岐山</w:t>
      </w:r>
      <w:r>
        <w:rPr>
          <w:rFonts w:hint="eastAsia" w:asciiTheme="majorEastAsia" w:hAnsiTheme="majorEastAsia" w:eastAsiaTheme="majorEastAsia" w:cstheme="majorEastAsia"/>
          <w:b/>
          <w:bCs/>
          <w:sz w:val="48"/>
          <w:szCs w:val="48"/>
          <w:lang w:eastAsia="zh-CN"/>
        </w:rPr>
        <w:t>县蔡家坡镇人民政府</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w:t>
      </w:r>
      <w:r>
        <w:rPr>
          <w:rFonts w:asciiTheme="majorEastAsia" w:hAnsiTheme="majorEastAsia" w:eastAsiaTheme="majorEastAsia" w:cstheme="majorEastAsia"/>
          <w:b/>
          <w:bCs/>
          <w:sz w:val="48"/>
          <w:szCs w:val="48"/>
        </w:rPr>
        <w:t>20</w:t>
      </w:r>
      <w:r>
        <w:rPr>
          <w:rFonts w:hint="eastAsia" w:asciiTheme="majorEastAsia" w:hAnsiTheme="majorEastAsia" w:eastAsiaTheme="majorEastAsia" w:cstheme="majorEastAsia"/>
          <w:b/>
          <w:bCs/>
          <w:sz w:val="48"/>
          <w:szCs w:val="48"/>
        </w:rPr>
        <w:t>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540" w:lineRule="exact"/>
        <w:jc w:val="center"/>
        <w:rPr>
          <w:rFonts w:ascii="黑体" w:hAnsi="宋体" w:eastAsia="黑体"/>
          <w:bCs/>
          <w:color w:val="000000"/>
          <w:kern w:val="0"/>
          <w:sz w:val="36"/>
          <w:szCs w:val="36"/>
          <w:lang w:bidi="ar"/>
        </w:rPr>
      </w:pPr>
    </w:p>
    <w:p>
      <w:pPr>
        <w:spacing w:line="540" w:lineRule="exact"/>
        <w:jc w:val="center"/>
        <w:rPr>
          <w:rFonts w:ascii="黑体" w:hAnsi="宋体" w:eastAsia="黑体"/>
          <w:bCs/>
          <w:color w:val="000000"/>
          <w:kern w:val="0"/>
          <w:sz w:val="36"/>
          <w:szCs w:val="36"/>
          <w:lang w:bidi="ar"/>
        </w:rPr>
      </w:pPr>
    </w:p>
    <w:p>
      <w:pPr>
        <w:spacing w:line="540" w:lineRule="exact"/>
        <w:jc w:val="center"/>
        <w:rPr>
          <w:rFonts w:ascii="黑体" w:hAnsi="宋体" w:eastAsia="黑体"/>
          <w:bCs/>
          <w:color w:val="000000"/>
          <w:kern w:val="0"/>
          <w:sz w:val="36"/>
          <w:szCs w:val="36"/>
          <w:lang w:bidi="ar"/>
        </w:rPr>
      </w:pP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spacing w:line="540" w:lineRule="exact"/>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spacing w:line="540" w:lineRule="exact"/>
        <w:ind w:firstLine="640" w:firstLineChars="200"/>
        <w:jc w:val="center"/>
      </w:pPr>
      <w:r>
        <w:rPr>
          <w:rFonts w:hint="eastAsia" w:ascii="黑体" w:hAnsi="宋体" w:eastAsia="黑体"/>
          <w:color w:val="000000"/>
          <w:kern w:val="0"/>
          <w:sz w:val="32"/>
          <w:szCs w:val="32"/>
          <w:lang w:bidi="ar"/>
        </w:rPr>
        <w:t xml:space="preserve">第二部分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w:t>
      </w:r>
      <w:r>
        <w:rPr>
          <w:rFonts w:ascii="黑体" w:hAnsi="宋体" w:eastAsia="黑体"/>
          <w:color w:val="000000"/>
          <w:kern w:val="0"/>
          <w:sz w:val="32"/>
          <w:szCs w:val="32"/>
          <w:lang w:bidi="ar"/>
        </w:rPr>
        <w:t>20</w:t>
      </w:r>
      <w:r>
        <w:rPr>
          <w:rFonts w:hint="eastAsia" w:ascii="黑体" w:hAnsi="宋体" w:eastAsia="黑体"/>
          <w:color w:val="000000"/>
          <w:kern w:val="0"/>
          <w:sz w:val="32"/>
          <w:szCs w:val="32"/>
          <w:lang w:bidi="ar"/>
        </w:rPr>
        <w:t>年部门决算情况说明</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spacing w:line="540" w:lineRule="exact"/>
        <w:ind w:firstLine="640" w:firstLineChars="200"/>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九、国有资本经营财政拨款收入支出情况说明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十、预算绩效情况说明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spacing w:line="540" w:lineRule="exact"/>
        <w:jc w:val="center"/>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第三部分 专业名词解释</w:t>
      </w:r>
    </w:p>
    <w:p>
      <w:pPr>
        <w:widowControl/>
        <w:spacing w:line="540" w:lineRule="exact"/>
        <w:jc w:val="center"/>
      </w:pPr>
      <w:r>
        <w:rPr>
          <w:rFonts w:hint="eastAsia" w:ascii="黑体" w:hAnsi="宋体" w:eastAsia="黑体"/>
          <w:color w:val="000000"/>
          <w:kern w:val="0"/>
          <w:sz w:val="32"/>
          <w:szCs w:val="32"/>
          <w:lang w:bidi="ar"/>
        </w:rPr>
        <w:t>第四部分  20</w:t>
      </w:r>
      <w:r>
        <w:rPr>
          <w:rFonts w:ascii="黑体" w:hAnsi="宋体" w:eastAsia="黑体"/>
          <w:color w:val="000000"/>
          <w:kern w:val="0"/>
          <w:sz w:val="32"/>
          <w:szCs w:val="32"/>
          <w:lang w:bidi="ar"/>
        </w:rPr>
        <w:t>20</w:t>
      </w:r>
      <w:r>
        <w:rPr>
          <w:rFonts w:hint="eastAsia" w:ascii="黑体" w:hAnsi="宋体" w:eastAsia="黑体"/>
          <w:color w:val="000000"/>
          <w:kern w:val="0"/>
          <w:sz w:val="32"/>
          <w:szCs w:val="32"/>
          <w:lang w:bidi="ar"/>
        </w:rPr>
        <w:t>年部门决算表</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tabs>
          <w:tab w:val="left" w:pos="1194"/>
          <w:tab w:val="center" w:pos="4482"/>
        </w:tabs>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tabs>
          <w:tab w:val="left" w:pos="1194"/>
          <w:tab w:val="center" w:pos="4482"/>
        </w:tabs>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九、部门项目绩效目标自评表</w:t>
      </w:r>
    </w:p>
    <w:p>
      <w:pPr>
        <w:tabs>
          <w:tab w:val="left" w:pos="1194"/>
          <w:tab w:val="center" w:pos="4482"/>
        </w:tabs>
        <w:spacing w:line="540" w:lineRule="exact"/>
        <w:ind w:firstLine="640" w:firstLine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十、部门整体绩效目标自评表</w:t>
      </w:r>
    </w:p>
    <w:p>
      <w:pPr>
        <w:tabs>
          <w:tab w:val="left" w:pos="1194"/>
          <w:tab w:val="center" w:pos="4482"/>
        </w:tabs>
        <w:spacing w:line="540" w:lineRule="exact"/>
        <w:ind w:firstLine="640" w:firstLineChars="200"/>
        <w:jc w:val="left"/>
        <w:rPr>
          <w:rFonts w:ascii="仿宋" w:hAnsi="仿宋" w:eastAsia="仿宋" w:cs="楷体"/>
          <w:color w:val="000000"/>
          <w:kern w:val="0"/>
          <w:sz w:val="32"/>
          <w:szCs w:val="32"/>
          <w:lang w:bidi="ar"/>
        </w:rPr>
      </w:pPr>
    </w:p>
    <w:p>
      <w:pPr>
        <w:spacing w:line="540" w:lineRule="exact"/>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spacing w:line="540" w:lineRule="exact"/>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spacing w:line="540" w:lineRule="exact"/>
        <w:ind w:firstLine="643" w:firstLineChars="200"/>
        <w:jc w:val="left"/>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一、执行本级人民代表大会的决议和上级国家行政机关的决定和命令，贯彻落实党和国家的各项方针政策和法律、法规；</w:t>
      </w:r>
      <w:r>
        <w:rPr>
          <w:rFonts w:hint="eastAsia" w:ascii="仿宋" w:hAnsi="仿宋" w:eastAsia="仿宋" w:cs="仿宋"/>
          <w:sz w:val="32"/>
          <w:szCs w:val="32"/>
        </w:rPr>
        <w:br w:type="textWrapping"/>
      </w:r>
      <w:r>
        <w:rPr>
          <w:rFonts w:hint="eastAsia" w:ascii="仿宋" w:hAnsi="仿宋" w:eastAsia="仿宋" w:cs="仿宋"/>
          <w:sz w:val="32"/>
          <w:szCs w:val="32"/>
        </w:rPr>
        <w:t xml:space="preserve">    二、管理本行政区域内的经济、教育、科学、文化、卫生、体育事业和财政、民政、公安、司法行政、计划生育等行政工作;</w:t>
      </w:r>
      <w:r>
        <w:rPr>
          <w:rFonts w:hint="eastAsia" w:ascii="仿宋" w:hAnsi="仿宋" w:eastAsia="仿宋" w:cs="仿宋"/>
          <w:sz w:val="32"/>
          <w:szCs w:val="32"/>
        </w:rPr>
        <w:br w:type="textWrapping"/>
      </w:r>
      <w:r>
        <w:rPr>
          <w:rFonts w:hint="eastAsia" w:ascii="仿宋" w:hAnsi="仿宋" w:eastAsia="仿宋" w:cs="仿宋"/>
          <w:sz w:val="32"/>
          <w:szCs w:val="32"/>
        </w:rPr>
        <w:t xml:space="preserve">    三、负责本辖区统筹城乡经济发展，城乡一体化建设的组织实施、农业产业结构调整、城乡居民和农民的劳动和社会保障工作；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四、负责辖区内的环境卫生、环保环卫等工作，依法进行管理和监督，并做好防火、防灾、防汛、防震、救灾、社会救济等工作以及村委会和社区居委会的日常管理工作；</w:t>
      </w:r>
      <w:r>
        <w:rPr>
          <w:rFonts w:hint="eastAsia" w:ascii="仿宋" w:hAnsi="仿宋" w:eastAsia="仿宋" w:cs="仿宋"/>
          <w:sz w:val="32"/>
          <w:szCs w:val="32"/>
        </w:rPr>
        <w:br w:type="textWrapping"/>
      </w:r>
      <w:r>
        <w:rPr>
          <w:rFonts w:hint="eastAsia" w:ascii="仿宋" w:hAnsi="仿宋" w:eastAsia="仿宋" w:cs="仿宋"/>
          <w:sz w:val="32"/>
          <w:szCs w:val="32"/>
        </w:rPr>
        <w:t xml:space="preserve">    五、办理县委、县政府交办的其他事项。</w:t>
      </w:r>
    </w:p>
    <w:p>
      <w:pPr>
        <w:widowControl/>
        <w:spacing w:line="540" w:lineRule="exact"/>
        <w:ind w:firstLine="643" w:firstLineChars="200"/>
        <w:jc w:val="left"/>
        <w:rPr>
          <w:rFonts w:hint="eastAsia" w:ascii="楷体" w:hAnsi="楷体" w:eastAsia="楷体" w:cs="楷体"/>
          <w:b/>
          <w:bCs/>
          <w:color w:val="000000"/>
          <w:kern w:val="0"/>
          <w:sz w:val="32"/>
          <w:szCs w:val="32"/>
          <w:lang w:bidi="ar"/>
        </w:rPr>
      </w:pPr>
    </w:p>
    <w:p>
      <w:pPr>
        <w:widowControl/>
        <w:spacing w:line="540" w:lineRule="exact"/>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（二）内设机构</w:t>
      </w:r>
    </w:p>
    <w:p>
      <w:pPr>
        <w:widowControl/>
        <w:spacing w:line="360" w:lineRule="auto"/>
        <w:ind w:firstLine="800" w:firstLineChars="250"/>
        <w:jc w:val="left"/>
        <w:rPr>
          <w:rFonts w:ascii="仿宋" w:hAnsi="仿宋" w:eastAsia="仿宋" w:cs="楷体"/>
          <w:color w:val="000000"/>
          <w:kern w:val="0"/>
          <w:sz w:val="32"/>
          <w:szCs w:val="32"/>
        </w:rPr>
      </w:pPr>
      <w:r>
        <w:rPr>
          <w:rFonts w:hint="eastAsia" w:ascii="仿宋" w:hAnsi="仿宋" w:eastAsia="仿宋" w:cs="宋体"/>
          <w:kern w:val="0"/>
          <w:sz w:val="32"/>
          <w:szCs w:val="32"/>
        </w:rPr>
        <w:t>岐山县蔡家坡镇人民政府机关现内设</w:t>
      </w:r>
      <w:r>
        <w:rPr>
          <w:rFonts w:ascii="仿宋" w:hAnsi="仿宋" w:eastAsia="仿宋" w:cs="??_GB2312"/>
          <w:kern w:val="0"/>
          <w:sz w:val="32"/>
          <w:szCs w:val="32"/>
        </w:rPr>
        <w:t>5</w:t>
      </w:r>
      <w:r>
        <w:rPr>
          <w:rFonts w:hint="eastAsia" w:ascii="仿宋" w:hAnsi="仿宋" w:eastAsia="仿宋" w:cs="宋体"/>
          <w:kern w:val="0"/>
          <w:sz w:val="32"/>
          <w:szCs w:val="32"/>
        </w:rPr>
        <w:t>个股室：党政办公室</w:t>
      </w:r>
      <w:r>
        <w:rPr>
          <w:rFonts w:ascii="仿宋" w:hAnsi="仿宋" w:eastAsia="仿宋" w:cs="??_GB2312"/>
          <w:kern w:val="0"/>
          <w:sz w:val="32"/>
          <w:szCs w:val="32"/>
        </w:rPr>
        <w:t>(</w:t>
      </w:r>
      <w:r>
        <w:rPr>
          <w:rFonts w:hint="eastAsia" w:ascii="仿宋" w:hAnsi="仿宋" w:eastAsia="仿宋" w:cs="宋体"/>
          <w:kern w:val="0"/>
          <w:sz w:val="32"/>
          <w:szCs w:val="32"/>
        </w:rPr>
        <w:t>财政所）、经济发展（市场监管）办公室（国土资源管理所、安全生产监督管理站）、社会事务管理办公室、综治维稳办公室（司法所）、宣传科教文卫办公室；</w:t>
      </w:r>
      <w:r>
        <w:rPr>
          <w:rFonts w:ascii="仿宋" w:hAnsi="仿宋" w:eastAsia="仿宋" w:cs="??_GB2312"/>
          <w:kern w:val="0"/>
          <w:sz w:val="32"/>
          <w:szCs w:val="32"/>
        </w:rPr>
        <w:t>1</w:t>
      </w:r>
      <w:r>
        <w:rPr>
          <w:rFonts w:hint="eastAsia" w:ascii="仿宋" w:hAnsi="仿宋" w:eastAsia="仿宋" w:cs="宋体"/>
          <w:kern w:val="0"/>
          <w:sz w:val="32"/>
          <w:szCs w:val="32"/>
        </w:rPr>
        <w:t>个一类公益事业单位（包括经济综合服务站、社会保障服务站、公益事业服务站、食品药品监督管理所、畜牧兽医工作站）。</w:t>
      </w:r>
    </w:p>
    <w:p>
      <w:pPr>
        <w:widowControl/>
        <w:spacing w:line="540" w:lineRule="exact"/>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top"/>
          </w:tcPr>
          <w:p>
            <w:pPr>
              <w:spacing w:line="360" w:lineRule="auto"/>
              <w:rPr>
                <w:rFonts w:ascii="仿宋_GB2312" w:hAnsi="仿宋_GB2312" w:eastAsia="仿宋_GB2312" w:cs="仿宋_GB2312"/>
                <w:sz w:val="32"/>
                <w:szCs w:val="32"/>
              </w:rPr>
            </w:pPr>
            <w:r>
              <w:rPr>
                <w:rFonts w:hint="eastAsia" w:ascii="仿宋" w:hAnsi="仿宋" w:eastAsia="仿宋" w:cs="宋体"/>
                <w:sz w:val="32"/>
                <w:szCs w:val="32"/>
              </w:rPr>
              <w:t>岐山县蔡家坡镇人民政府本级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top"/>
          </w:tcPr>
          <w:p>
            <w:pPr>
              <w:spacing w:line="360" w:lineRule="auto"/>
              <w:rPr>
                <w:rFonts w:ascii="仿宋_GB2312" w:hAnsi="仿宋_GB2312" w:eastAsia="仿宋_GB2312" w:cs="仿宋_GB2312"/>
                <w:sz w:val="32"/>
                <w:szCs w:val="32"/>
              </w:rPr>
            </w:pPr>
            <w:r>
              <w:rPr>
                <w:rFonts w:hint="eastAsia" w:ascii="仿宋" w:hAnsi="仿宋" w:eastAsia="仿宋" w:cs="宋体"/>
                <w:sz w:val="32"/>
                <w:szCs w:val="32"/>
              </w:rPr>
              <w:t>岐山县财政局蔡家坡财政所</w:t>
            </w:r>
          </w:p>
        </w:tc>
      </w:tr>
    </w:tbl>
    <w:p>
      <w:pPr>
        <w:ind w:firstLine="640"/>
        <w:rPr>
          <w:rFonts w:ascii="仿宋_GB2312" w:hAnsi="仿宋_GB2312" w:eastAsia="仿宋_GB2312" w:cs="仿宋_GB2312"/>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人。</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object>
          <v:shape id="_x0000_i1025" o:spt="75" type="#_x0000_t75" style="height:172.5pt;width:297pt;" o:ole="t" filled="f" o:preferrelative="t" stroked="f" coordsize="21600,21600">
            <v:path/>
            <v:fill on="f" focussize="0,0"/>
            <v:stroke on="f" joinstyle="miter"/>
            <v:imagedata r:id="rId6" o:title=""/>
            <o:lock v:ext="edit" aspectratio="t"/>
            <w10:wrap type="none"/>
            <w10:anchorlock/>
          </v:shape>
          <o:OLEObject Type="Embed" ProgID="Excel.Sheet.8" ShapeID="_x0000_i1025" DrawAspect="Content" ObjectID="_1468075725" r:id="rId5">
            <o:LockedField>false</o:LockedField>
          </o:OLEObject>
        </w:objec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object>
          <v:shape id="_x0000_i1026" o:spt="75" type="#_x0000_t75" style="height:189.75pt;width:294.75pt;" o:ole="t" filled="f" o:preferrelative="t" stroked="f" coordsize="21600,21600">
            <v:path/>
            <v:fill on="f" focussize="0,0"/>
            <v:stroke on="f" joinstyle="miter"/>
            <v:imagedata r:id="rId8" o:title=""/>
            <o:lock v:ext="edit" aspectratio="t"/>
            <w10:wrap type="none"/>
            <w10:anchorlock/>
          </v:shape>
          <o:OLEObject Type="Embed" ProgID="Excel.Sheet.8" ShapeID="_x0000_i1026" DrawAspect="Content" ObjectID="_1468075726" r:id="rId7">
            <o:LockedField>false</o:LockedField>
          </o:OLEObject>
        </w:objec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第二部分 20</w:t>
      </w:r>
      <w:r>
        <w:rPr>
          <w:rFonts w:ascii="黑体" w:hAnsi="宋体" w:eastAsia="黑体"/>
          <w:color w:val="000000"/>
          <w:kern w:val="0"/>
          <w:sz w:val="44"/>
          <w:szCs w:val="44"/>
          <w:lang w:bidi="ar"/>
        </w:rPr>
        <w:t>20</w:t>
      </w:r>
      <w:r>
        <w:rPr>
          <w:rFonts w:hint="eastAsia" w:ascii="黑体" w:hAnsi="宋体" w:eastAsia="黑体"/>
          <w:color w:val="000000"/>
          <w:kern w:val="0"/>
          <w:sz w:val="44"/>
          <w:szCs w:val="44"/>
          <w:lang w:bidi="ar"/>
        </w:rPr>
        <w:t xml:space="preserve"> 年部门决算情况说明</w:t>
      </w:r>
    </w:p>
    <w:p>
      <w:pPr>
        <w:widowControl/>
        <w:spacing w:line="240" w:lineRule="exact"/>
        <w:rPr>
          <w:rFonts w:ascii="黑体" w:hAnsi="宋体" w:eastAsia="黑体"/>
          <w:color w:val="000000"/>
          <w:kern w:val="0"/>
          <w:sz w:val="44"/>
          <w:szCs w:val="44"/>
          <w:lang w:bidi="ar"/>
        </w:rPr>
      </w:pP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ind w:firstLine="800" w:firstLineChars="250"/>
        <w:rPr>
          <w:rFonts w:hint="eastAsia" w:ascii="仿宋_GB2312" w:hAnsi="宋体" w:eastAsia="仿宋_GB2312" w:cs="宋体"/>
          <w:sz w:val="32"/>
          <w:szCs w:val="32"/>
        </w:rPr>
      </w:pPr>
      <w:r>
        <w:rPr>
          <w:rFonts w:hint="eastAsia" w:ascii="仿宋_GB2312" w:hAnsi="??_GB2312" w:eastAsia="仿宋_GB2312" w:cs="??_GB2312"/>
          <w:sz w:val="32"/>
          <w:szCs w:val="32"/>
        </w:rPr>
        <w:t>20</w:t>
      </w:r>
      <w:r>
        <w:rPr>
          <w:rFonts w:hint="eastAsia" w:ascii="仿宋_GB2312" w:hAnsi="??_GB2312" w:eastAsia="仿宋_GB2312" w:cs="??_GB2312"/>
          <w:sz w:val="32"/>
          <w:szCs w:val="32"/>
          <w:lang w:val="en-US" w:eastAsia="zh-CN"/>
        </w:rPr>
        <w:t>20</w:t>
      </w:r>
      <w:r>
        <w:rPr>
          <w:rFonts w:hint="eastAsia" w:ascii="仿宋_GB2312" w:hAnsi="宋体" w:eastAsia="仿宋_GB2312" w:cs="宋体"/>
          <w:sz w:val="32"/>
          <w:szCs w:val="32"/>
        </w:rPr>
        <w:t>年度本年收入合计</w:t>
      </w:r>
      <w:r>
        <w:rPr>
          <w:rFonts w:hint="eastAsia" w:ascii="仿宋_GB2312" w:hAnsi="??_GB2312" w:eastAsia="仿宋_GB2312" w:cs="??_GB2312"/>
          <w:sz w:val="32"/>
          <w:szCs w:val="32"/>
          <w:lang w:val="en-US" w:eastAsia="zh-CN"/>
        </w:rPr>
        <w:t>3224.62</w:t>
      </w:r>
      <w:r>
        <w:rPr>
          <w:rFonts w:hint="eastAsia" w:ascii="仿宋_GB2312" w:hAnsi="宋体" w:eastAsia="仿宋_GB2312" w:cs="宋体"/>
          <w:sz w:val="32"/>
          <w:szCs w:val="32"/>
        </w:rPr>
        <w:t>万元，较上年</w:t>
      </w:r>
      <w:r>
        <w:rPr>
          <w:rFonts w:hint="eastAsia" w:ascii="仿宋_GB2312" w:hAnsi="宋体" w:eastAsia="仿宋_GB2312" w:cs="宋体"/>
          <w:sz w:val="32"/>
          <w:szCs w:val="32"/>
          <w:lang w:eastAsia="zh-CN"/>
        </w:rPr>
        <w:t>增加</w:t>
      </w:r>
      <w:r>
        <w:rPr>
          <w:rFonts w:hint="eastAsia" w:ascii="仿宋_GB2312" w:hAnsi="宋体" w:eastAsia="仿宋_GB2312" w:cs="宋体"/>
          <w:sz w:val="32"/>
          <w:szCs w:val="32"/>
          <w:lang w:val="en-US" w:eastAsia="zh-CN"/>
        </w:rPr>
        <w:t>637.68</w:t>
      </w:r>
      <w:r>
        <w:rPr>
          <w:rFonts w:hint="eastAsia" w:ascii="仿宋_GB2312" w:hAnsi="宋体" w:eastAsia="仿宋_GB2312" w:cs="宋体"/>
          <w:sz w:val="32"/>
          <w:szCs w:val="32"/>
        </w:rPr>
        <w:t>万元，主要原因是20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年美丽乡村建设、村集体经济补助、</w:t>
      </w:r>
      <w:r>
        <w:rPr>
          <w:rFonts w:hint="eastAsia" w:ascii="仿宋_GB2312" w:hAnsi="宋体" w:eastAsia="仿宋_GB2312" w:cs="宋体"/>
          <w:sz w:val="32"/>
          <w:szCs w:val="32"/>
          <w:lang w:eastAsia="zh-CN"/>
        </w:rPr>
        <w:t>农村文化设施建设、村干部报酬等</w:t>
      </w:r>
      <w:r>
        <w:rPr>
          <w:rFonts w:hint="eastAsia" w:ascii="仿宋_GB2312" w:hAnsi="宋体" w:eastAsia="仿宋_GB2312" w:cs="宋体"/>
          <w:sz w:val="32"/>
          <w:szCs w:val="32"/>
        </w:rPr>
        <w:t>增加。</w:t>
      </w:r>
    </w:p>
    <w:p>
      <w:pPr>
        <w:ind w:firstLine="800" w:firstLineChars="250"/>
        <w:rPr>
          <w:rFonts w:ascii="仿宋_GB2312" w:hAnsi="Tahoma" w:eastAsia="仿宋_GB2312" w:cs="Tahoma"/>
          <w:color w:val="000000"/>
          <w:kern w:val="0"/>
          <w:sz w:val="22"/>
          <w:szCs w:val="22"/>
        </w:rPr>
      </w:pPr>
      <w:r>
        <w:rPr>
          <w:rFonts w:hint="eastAsia" w:ascii="仿宋_GB2312" w:hAnsi="??_GB2312" w:eastAsia="仿宋_GB2312" w:cs="??_GB2312"/>
          <w:sz w:val="32"/>
          <w:szCs w:val="32"/>
        </w:rPr>
        <w:t>20</w:t>
      </w:r>
      <w:r>
        <w:rPr>
          <w:rFonts w:hint="eastAsia" w:ascii="仿宋_GB2312" w:hAnsi="??_GB2312" w:eastAsia="仿宋_GB2312" w:cs="??_GB2312"/>
          <w:sz w:val="32"/>
          <w:szCs w:val="32"/>
          <w:lang w:val="en-US" w:eastAsia="zh-CN"/>
        </w:rPr>
        <w:t>20</w:t>
      </w:r>
      <w:r>
        <w:rPr>
          <w:rFonts w:hint="eastAsia" w:ascii="仿宋_GB2312" w:hAnsi="宋体" w:eastAsia="仿宋_GB2312" w:cs="宋体"/>
          <w:sz w:val="32"/>
          <w:szCs w:val="32"/>
        </w:rPr>
        <w:t>年度本年</w:t>
      </w:r>
      <w:r>
        <w:rPr>
          <w:rFonts w:hint="eastAsia" w:ascii="仿宋_GB2312" w:hAnsi="宋体" w:eastAsia="仿宋_GB2312" w:cs="宋体"/>
          <w:sz w:val="32"/>
          <w:szCs w:val="32"/>
          <w:lang w:eastAsia="zh-CN"/>
        </w:rPr>
        <w:t>支出</w:t>
      </w:r>
      <w:r>
        <w:rPr>
          <w:rFonts w:hint="eastAsia" w:ascii="仿宋_GB2312" w:hAnsi="宋体" w:eastAsia="仿宋_GB2312" w:cs="宋体"/>
          <w:sz w:val="32"/>
          <w:szCs w:val="32"/>
        </w:rPr>
        <w:t>合计</w:t>
      </w:r>
      <w:r>
        <w:rPr>
          <w:rFonts w:hint="eastAsia" w:ascii="仿宋_GB2312" w:hAnsi="??_GB2312" w:eastAsia="仿宋_GB2312" w:cs="??_GB2312"/>
          <w:sz w:val="32"/>
          <w:szCs w:val="32"/>
          <w:lang w:val="en-US" w:eastAsia="zh-CN"/>
        </w:rPr>
        <w:t>3224.62</w:t>
      </w:r>
      <w:r>
        <w:rPr>
          <w:rFonts w:hint="eastAsia" w:ascii="仿宋_GB2312" w:hAnsi="宋体" w:eastAsia="仿宋_GB2312" w:cs="宋体"/>
          <w:sz w:val="32"/>
          <w:szCs w:val="32"/>
        </w:rPr>
        <w:t>万元，较上年</w:t>
      </w:r>
      <w:r>
        <w:rPr>
          <w:rFonts w:hint="eastAsia" w:ascii="仿宋_GB2312" w:hAnsi="宋体" w:eastAsia="仿宋_GB2312" w:cs="宋体"/>
          <w:sz w:val="32"/>
          <w:szCs w:val="32"/>
          <w:lang w:eastAsia="zh-CN"/>
        </w:rPr>
        <w:t>增加</w:t>
      </w:r>
      <w:r>
        <w:rPr>
          <w:rFonts w:hint="eastAsia" w:ascii="仿宋_GB2312" w:hAnsi="宋体" w:eastAsia="仿宋_GB2312" w:cs="宋体"/>
          <w:sz w:val="32"/>
          <w:szCs w:val="32"/>
          <w:lang w:val="en-US" w:eastAsia="zh-CN"/>
        </w:rPr>
        <w:t>637.68</w:t>
      </w:r>
      <w:r>
        <w:rPr>
          <w:rFonts w:hint="eastAsia" w:ascii="仿宋_GB2312" w:hAnsi="宋体" w:eastAsia="仿宋_GB2312" w:cs="宋体"/>
          <w:sz w:val="32"/>
          <w:szCs w:val="32"/>
        </w:rPr>
        <w:t>万元，主要原因是20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年美丽乡村建设、村集体经济补助、</w:t>
      </w:r>
      <w:r>
        <w:rPr>
          <w:rFonts w:hint="eastAsia" w:ascii="仿宋_GB2312" w:hAnsi="宋体" w:eastAsia="仿宋_GB2312" w:cs="宋体"/>
          <w:sz w:val="32"/>
          <w:szCs w:val="32"/>
          <w:lang w:eastAsia="zh-CN"/>
        </w:rPr>
        <w:t>农村文化设施建设、村干部报酬等</w:t>
      </w:r>
      <w:r>
        <w:rPr>
          <w:rFonts w:hint="eastAsia" w:ascii="仿宋_GB2312" w:hAnsi="宋体" w:eastAsia="仿宋_GB2312" w:cs="宋体"/>
          <w:sz w:val="32"/>
          <w:szCs w:val="32"/>
        </w:rPr>
        <w:t>增加。</w:t>
      </w:r>
    </w:p>
    <w:p>
      <w:pPr>
        <w:ind w:firstLine="800" w:firstLineChars="250"/>
        <w:rPr>
          <w:rFonts w:hint="eastAsia" w:ascii="仿宋_GB2312" w:hAnsi="宋体" w:eastAsia="仿宋_GB2312" w:cs="宋体"/>
          <w:sz w:val="32"/>
          <w:szCs w:val="32"/>
        </w:rPr>
      </w:pPr>
    </w:p>
    <w:p>
      <w:pPr>
        <w:widowControl/>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58240" behindDoc="0" locked="0" layoutInCell="1" allowOverlap="1">
            <wp:simplePos x="0" y="0"/>
            <wp:positionH relativeFrom="column">
              <wp:posOffset>448945</wp:posOffset>
            </wp:positionH>
            <wp:positionV relativeFrom="paragraph">
              <wp:posOffset>163195</wp:posOffset>
            </wp:positionV>
            <wp:extent cx="4905375" cy="2466975"/>
            <wp:effectExtent l="0" t="0" r="0" b="0"/>
            <wp:wrapSquare wrapText="bothSides"/>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widowControl/>
        <w:spacing w:line="540" w:lineRule="exact"/>
        <w:ind w:firstLine="640" w:firstLineChars="200"/>
        <w:jc w:val="left"/>
        <w:rPr>
          <w:rFonts w:ascii="仿宋_GB2312" w:hAnsi="仿宋" w:eastAsia="仿宋_GB2312"/>
          <w:sz w:val="32"/>
          <w:szCs w:val="32"/>
        </w:rPr>
      </w:pPr>
    </w:p>
    <w:p>
      <w:pPr>
        <w:widowControl/>
        <w:spacing w:line="540" w:lineRule="exact"/>
        <w:ind w:firstLine="640" w:firstLineChars="200"/>
        <w:jc w:val="left"/>
        <w:rPr>
          <w:rFonts w:ascii="仿宋_GB2312" w:hAnsi="仿宋" w:eastAsia="仿宋_GB2312"/>
          <w:sz w:val="32"/>
          <w:szCs w:val="32"/>
        </w:rPr>
      </w:pPr>
    </w:p>
    <w:p>
      <w:pPr>
        <w:widowControl/>
        <w:spacing w:line="540" w:lineRule="exact"/>
        <w:ind w:firstLine="640" w:firstLineChars="200"/>
        <w:jc w:val="left"/>
        <w:rPr>
          <w:rFonts w:ascii="仿宋_GB2312" w:hAnsi="仿宋" w:eastAsia="仿宋_GB2312"/>
          <w:sz w:val="32"/>
          <w:szCs w:val="32"/>
        </w:rPr>
      </w:pPr>
    </w:p>
    <w:p>
      <w:pPr>
        <w:widowControl/>
        <w:spacing w:line="540" w:lineRule="exact"/>
        <w:ind w:firstLine="640" w:firstLineChars="200"/>
        <w:jc w:val="left"/>
        <w:rPr>
          <w:rFonts w:ascii="仿宋_GB2312" w:hAnsi="仿宋" w:eastAsia="仿宋_GB2312"/>
          <w:sz w:val="32"/>
          <w:szCs w:val="32"/>
        </w:rPr>
      </w:pPr>
    </w:p>
    <w:p>
      <w:pPr>
        <w:widowControl/>
        <w:spacing w:line="540" w:lineRule="exact"/>
        <w:ind w:firstLine="640" w:firstLineChars="200"/>
        <w:jc w:val="left"/>
        <w:rPr>
          <w:rFonts w:ascii="黑体" w:hAnsi="黑体" w:eastAsia="黑体"/>
          <w:color w:val="000000"/>
          <w:kern w:val="0"/>
          <w:sz w:val="32"/>
          <w:szCs w:val="32"/>
          <w:lang w:bidi="ar"/>
        </w:rPr>
      </w:pPr>
    </w:p>
    <w:p>
      <w:pPr>
        <w:widowControl/>
        <w:spacing w:line="540" w:lineRule="exact"/>
        <w:ind w:firstLine="640" w:firstLineChars="200"/>
        <w:jc w:val="left"/>
        <w:rPr>
          <w:rFonts w:ascii="黑体" w:hAnsi="黑体" w:eastAsia="黑体"/>
          <w:color w:val="000000"/>
          <w:kern w:val="0"/>
          <w:sz w:val="32"/>
          <w:szCs w:val="32"/>
          <w:lang w:bidi="ar"/>
        </w:rPr>
      </w:pPr>
    </w:p>
    <w:p>
      <w:pPr>
        <w:widowControl/>
        <w:spacing w:line="540" w:lineRule="exact"/>
        <w:ind w:firstLine="640" w:firstLineChars="200"/>
        <w:jc w:val="left"/>
        <w:rPr>
          <w:rFonts w:ascii="黑体" w:hAnsi="黑体" w:eastAsia="黑体"/>
          <w:color w:val="000000"/>
          <w:kern w:val="0"/>
          <w:sz w:val="32"/>
          <w:szCs w:val="32"/>
          <w:lang w:bidi="ar"/>
        </w:rPr>
      </w:pP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w:t>
      </w:r>
      <w:r>
        <w:rPr>
          <w:rFonts w:ascii="仿宋_GB2312" w:hAnsi="宋体" w:eastAsia="仿宋_GB2312" w:cs="仿宋_GB2312"/>
          <w:color w:val="000000"/>
          <w:kern w:val="0"/>
          <w:sz w:val="32"/>
          <w:szCs w:val="32"/>
          <w:lang w:bidi="ar"/>
        </w:rPr>
        <w:t>20年收入合计</w:t>
      </w:r>
      <w:r>
        <w:rPr>
          <w:rFonts w:hint="eastAsia" w:ascii="仿宋_GB2312" w:hAnsi="宋体" w:eastAsia="仿宋_GB2312" w:cs="仿宋_GB2312"/>
          <w:color w:val="000000"/>
          <w:kern w:val="0"/>
          <w:sz w:val="32"/>
          <w:szCs w:val="32"/>
          <w:lang w:val="en-US" w:eastAsia="zh-CN" w:bidi="ar"/>
        </w:rPr>
        <w:t>3224.62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，其中：财政拨款收入</w:t>
      </w:r>
      <w:r>
        <w:rPr>
          <w:rFonts w:hint="eastAsia" w:ascii="仿宋_GB2312" w:hAnsi="宋体" w:eastAsia="仿宋_GB2312" w:cs="仿宋_GB2312"/>
          <w:color w:val="000000"/>
          <w:kern w:val="0"/>
          <w:sz w:val="32"/>
          <w:szCs w:val="32"/>
          <w:lang w:val="en-US" w:eastAsia="zh-CN" w:bidi="ar"/>
        </w:rPr>
        <w:t>3224.62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%；事业收入</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%；经营收入</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spacing w:line="540" w:lineRule="exact"/>
        <w:jc w:val="left"/>
        <w:rPr>
          <w:rFonts w:ascii="黑体" w:hAnsi="黑体" w:eastAsia="黑体"/>
          <w:color w:val="000000"/>
          <w:kern w:val="0"/>
          <w:sz w:val="32"/>
          <w:szCs w:val="32"/>
          <w:lang w:bidi="ar"/>
        </w:rPr>
      </w:pPr>
    </w:p>
    <w:p>
      <w:pPr>
        <w:widowControl/>
        <w:ind w:firstLine="640" w:firstLineChars="200"/>
        <w:jc w:val="center"/>
        <w:rPr>
          <w:rFonts w:ascii="黑体" w:hAnsi="黑体" w:eastAsia="黑体"/>
          <w:color w:val="000000"/>
          <w:kern w:val="0"/>
          <w:sz w:val="32"/>
          <w:szCs w:val="32"/>
          <w:lang w:bidi="ar"/>
        </w:rPr>
      </w:pPr>
      <w:r>
        <w:rPr>
          <w:rFonts w:hint="eastAsia" w:ascii="仿宋_GB2312" w:hAnsi="仿宋_GB2312" w:eastAsia="仿宋_GB2312" w:cs="仿宋_GB2312"/>
          <w:color w:val="000000"/>
          <w:kern w:val="0"/>
          <w:sz w:val="32"/>
          <w:szCs w:val="32"/>
        </w:rPr>
        <w:drawing>
          <wp:inline distT="0" distB="0" distL="0" distR="0">
            <wp:extent cx="4429125" cy="2486025"/>
            <wp:effectExtent l="0" t="0" r="9525"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spacing w:line="540" w:lineRule="exact"/>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w:t>
      </w:r>
      <w:r>
        <w:rPr>
          <w:rFonts w:ascii="仿宋_GB2312" w:hAnsi="宋体" w:eastAsia="仿宋_GB2312" w:cs="仿宋_GB2312"/>
          <w:color w:val="000000"/>
          <w:kern w:val="0"/>
          <w:sz w:val="32"/>
          <w:szCs w:val="32"/>
          <w:lang w:bidi="ar"/>
        </w:rPr>
        <w:t>20年支出合计</w:t>
      </w:r>
      <w:r>
        <w:rPr>
          <w:rFonts w:hint="eastAsia" w:ascii="仿宋_GB2312" w:hAnsi="宋体" w:eastAsia="仿宋_GB2312" w:cs="仿宋_GB2312"/>
          <w:color w:val="000000"/>
          <w:kern w:val="0"/>
          <w:sz w:val="32"/>
          <w:szCs w:val="32"/>
          <w:lang w:val="en-US" w:eastAsia="zh-CN" w:bidi="ar"/>
        </w:rPr>
        <w:t>3224.62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，其中：基本支出</w:t>
      </w:r>
      <w:r>
        <w:rPr>
          <w:rFonts w:hint="eastAsia" w:ascii="仿宋_GB2312" w:hAnsi="宋体" w:eastAsia="仿宋_GB2312" w:cs="仿宋_GB2312"/>
          <w:color w:val="000000"/>
          <w:kern w:val="0"/>
          <w:sz w:val="32"/>
          <w:szCs w:val="32"/>
          <w:lang w:val="en-US" w:eastAsia="zh-CN" w:bidi="ar"/>
        </w:rPr>
        <w:t>2585.08</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80</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639.54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rPr>
        <w:drawing>
          <wp:inline distT="0" distB="0" distL="0" distR="0">
            <wp:extent cx="4972050" cy="3200400"/>
            <wp:effectExtent l="0" t="0" r="19050" b="1905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ind w:firstLine="800" w:firstLineChars="250"/>
        <w:rPr>
          <w:rFonts w:hint="eastAsia" w:ascii="仿宋_GB2312" w:hAnsi="宋体" w:eastAsia="仿宋_GB2312" w:cs="宋体"/>
          <w:sz w:val="32"/>
          <w:szCs w:val="32"/>
        </w:rPr>
      </w:pPr>
      <w:r>
        <w:rPr>
          <w:rFonts w:hint="eastAsia" w:ascii="仿宋_GB2312" w:hAnsi="??_GB2312" w:eastAsia="仿宋_GB2312" w:cs="??_GB2312"/>
          <w:sz w:val="32"/>
          <w:szCs w:val="32"/>
        </w:rPr>
        <w:t>20</w:t>
      </w:r>
      <w:r>
        <w:rPr>
          <w:rFonts w:hint="eastAsia" w:ascii="仿宋_GB2312" w:hAnsi="??_GB2312" w:eastAsia="仿宋_GB2312" w:cs="??_GB2312"/>
          <w:sz w:val="32"/>
          <w:szCs w:val="32"/>
          <w:lang w:val="en-US" w:eastAsia="zh-CN"/>
        </w:rPr>
        <w:t>20</w:t>
      </w:r>
      <w:r>
        <w:rPr>
          <w:rFonts w:hint="eastAsia" w:ascii="仿宋_GB2312" w:hAnsi="宋体" w:eastAsia="仿宋_GB2312" w:cs="宋体"/>
          <w:sz w:val="32"/>
          <w:szCs w:val="32"/>
        </w:rPr>
        <w:t>年度本年收入合计</w:t>
      </w:r>
      <w:r>
        <w:rPr>
          <w:rFonts w:hint="eastAsia" w:ascii="仿宋_GB2312" w:hAnsi="??_GB2312" w:eastAsia="仿宋_GB2312" w:cs="??_GB2312"/>
          <w:sz w:val="32"/>
          <w:szCs w:val="32"/>
          <w:lang w:val="en-US" w:eastAsia="zh-CN"/>
        </w:rPr>
        <w:t>3224.62</w:t>
      </w:r>
      <w:r>
        <w:rPr>
          <w:rFonts w:hint="eastAsia" w:ascii="仿宋_GB2312" w:hAnsi="宋体" w:eastAsia="仿宋_GB2312" w:cs="宋体"/>
          <w:sz w:val="32"/>
          <w:szCs w:val="32"/>
        </w:rPr>
        <w:t>万元，较上年</w:t>
      </w:r>
      <w:r>
        <w:rPr>
          <w:rFonts w:hint="eastAsia" w:ascii="仿宋_GB2312" w:hAnsi="宋体" w:eastAsia="仿宋_GB2312" w:cs="宋体"/>
          <w:sz w:val="32"/>
          <w:szCs w:val="32"/>
          <w:lang w:eastAsia="zh-CN"/>
        </w:rPr>
        <w:t>增加</w:t>
      </w:r>
      <w:r>
        <w:rPr>
          <w:rFonts w:hint="eastAsia" w:ascii="仿宋_GB2312" w:hAnsi="宋体" w:eastAsia="仿宋_GB2312" w:cs="宋体"/>
          <w:sz w:val="32"/>
          <w:szCs w:val="32"/>
          <w:lang w:val="en-US" w:eastAsia="zh-CN"/>
        </w:rPr>
        <w:t>637.68</w:t>
      </w:r>
      <w:r>
        <w:rPr>
          <w:rFonts w:hint="eastAsia" w:ascii="仿宋_GB2312" w:hAnsi="宋体" w:eastAsia="仿宋_GB2312" w:cs="宋体"/>
          <w:sz w:val="32"/>
          <w:szCs w:val="32"/>
        </w:rPr>
        <w:t>万元，主要原因是20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年美丽乡村建设、村集体经济补助、</w:t>
      </w:r>
      <w:r>
        <w:rPr>
          <w:rFonts w:hint="eastAsia" w:ascii="仿宋_GB2312" w:hAnsi="宋体" w:eastAsia="仿宋_GB2312" w:cs="宋体"/>
          <w:sz w:val="32"/>
          <w:szCs w:val="32"/>
          <w:lang w:eastAsia="zh-CN"/>
        </w:rPr>
        <w:t>农村文化设施建设、村干部报酬等</w:t>
      </w:r>
      <w:r>
        <w:rPr>
          <w:rFonts w:hint="eastAsia" w:ascii="仿宋_GB2312" w:hAnsi="宋体" w:eastAsia="仿宋_GB2312" w:cs="宋体"/>
          <w:sz w:val="32"/>
          <w:szCs w:val="32"/>
        </w:rPr>
        <w:t>增加。</w:t>
      </w:r>
    </w:p>
    <w:p>
      <w:pPr>
        <w:ind w:firstLine="800" w:firstLineChars="250"/>
        <w:rPr>
          <w:rFonts w:ascii="仿宋_GB2312" w:hAnsi="Tahoma" w:eastAsia="仿宋_GB2312" w:cs="Tahoma"/>
          <w:color w:val="000000"/>
          <w:kern w:val="0"/>
          <w:sz w:val="22"/>
          <w:szCs w:val="22"/>
        </w:rPr>
      </w:pPr>
      <w:r>
        <w:rPr>
          <w:rFonts w:hint="eastAsia" w:ascii="仿宋_GB2312" w:hAnsi="??_GB2312" w:eastAsia="仿宋_GB2312" w:cs="??_GB2312"/>
          <w:sz w:val="32"/>
          <w:szCs w:val="32"/>
        </w:rPr>
        <w:t>20</w:t>
      </w:r>
      <w:r>
        <w:rPr>
          <w:rFonts w:hint="eastAsia" w:ascii="仿宋_GB2312" w:hAnsi="??_GB2312" w:eastAsia="仿宋_GB2312" w:cs="??_GB2312"/>
          <w:sz w:val="32"/>
          <w:szCs w:val="32"/>
          <w:lang w:val="en-US" w:eastAsia="zh-CN"/>
        </w:rPr>
        <w:t>20</w:t>
      </w:r>
      <w:r>
        <w:rPr>
          <w:rFonts w:hint="eastAsia" w:ascii="仿宋_GB2312" w:hAnsi="宋体" w:eastAsia="仿宋_GB2312" w:cs="宋体"/>
          <w:sz w:val="32"/>
          <w:szCs w:val="32"/>
        </w:rPr>
        <w:t>年度本年</w:t>
      </w:r>
      <w:r>
        <w:rPr>
          <w:rFonts w:hint="eastAsia" w:ascii="仿宋_GB2312" w:hAnsi="宋体" w:eastAsia="仿宋_GB2312" w:cs="宋体"/>
          <w:sz w:val="32"/>
          <w:szCs w:val="32"/>
          <w:lang w:eastAsia="zh-CN"/>
        </w:rPr>
        <w:t>支出</w:t>
      </w:r>
      <w:r>
        <w:rPr>
          <w:rFonts w:hint="eastAsia" w:ascii="仿宋_GB2312" w:hAnsi="宋体" w:eastAsia="仿宋_GB2312" w:cs="宋体"/>
          <w:sz w:val="32"/>
          <w:szCs w:val="32"/>
        </w:rPr>
        <w:t>合计</w:t>
      </w:r>
      <w:r>
        <w:rPr>
          <w:rFonts w:hint="eastAsia" w:ascii="仿宋_GB2312" w:hAnsi="??_GB2312" w:eastAsia="仿宋_GB2312" w:cs="??_GB2312"/>
          <w:sz w:val="32"/>
          <w:szCs w:val="32"/>
          <w:lang w:val="en-US" w:eastAsia="zh-CN"/>
        </w:rPr>
        <w:t>3224.62</w:t>
      </w:r>
      <w:r>
        <w:rPr>
          <w:rFonts w:hint="eastAsia" w:ascii="仿宋_GB2312" w:hAnsi="宋体" w:eastAsia="仿宋_GB2312" w:cs="宋体"/>
          <w:sz w:val="32"/>
          <w:szCs w:val="32"/>
        </w:rPr>
        <w:t>万元，较上年</w:t>
      </w:r>
      <w:r>
        <w:rPr>
          <w:rFonts w:hint="eastAsia" w:ascii="仿宋_GB2312" w:hAnsi="宋体" w:eastAsia="仿宋_GB2312" w:cs="宋体"/>
          <w:sz w:val="32"/>
          <w:szCs w:val="32"/>
          <w:lang w:eastAsia="zh-CN"/>
        </w:rPr>
        <w:t>增加</w:t>
      </w:r>
      <w:r>
        <w:rPr>
          <w:rFonts w:hint="eastAsia" w:ascii="仿宋_GB2312" w:hAnsi="宋体" w:eastAsia="仿宋_GB2312" w:cs="宋体"/>
          <w:sz w:val="32"/>
          <w:szCs w:val="32"/>
          <w:lang w:val="en-US" w:eastAsia="zh-CN"/>
        </w:rPr>
        <w:t>637.68</w:t>
      </w:r>
      <w:r>
        <w:rPr>
          <w:rFonts w:hint="eastAsia" w:ascii="仿宋_GB2312" w:hAnsi="宋体" w:eastAsia="仿宋_GB2312" w:cs="宋体"/>
          <w:sz w:val="32"/>
          <w:szCs w:val="32"/>
        </w:rPr>
        <w:t>万元，主要原因是20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年美丽乡村建设、村集体经济补助、</w:t>
      </w:r>
      <w:r>
        <w:rPr>
          <w:rFonts w:hint="eastAsia" w:ascii="仿宋_GB2312" w:hAnsi="宋体" w:eastAsia="仿宋_GB2312" w:cs="宋体"/>
          <w:sz w:val="32"/>
          <w:szCs w:val="32"/>
          <w:lang w:eastAsia="zh-CN"/>
        </w:rPr>
        <w:t>农村文化设施建设、村干部报酬等</w:t>
      </w:r>
      <w:r>
        <w:rPr>
          <w:rFonts w:hint="eastAsia" w:ascii="仿宋_GB2312" w:hAnsi="宋体" w:eastAsia="仿宋_GB2312" w:cs="宋体"/>
          <w:sz w:val="32"/>
          <w:szCs w:val="32"/>
        </w:rPr>
        <w:t>增加。</w:t>
      </w:r>
    </w:p>
    <w:p>
      <w:pPr>
        <w:widowControl/>
        <w:rPr>
          <w:rFonts w:ascii="仿宋_GB2312" w:hAnsi="仿宋" w:eastAsia="仿宋_GB2312"/>
          <w:sz w:val="32"/>
          <w:szCs w:val="32"/>
        </w:rPr>
      </w:pPr>
      <w:r>
        <w:rPr>
          <w:rFonts w:hint="eastAsia" w:ascii="仿宋_GB2312" w:hAnsi="仿宋" w:eastAsia="仿宋_GB2312"/>
          <w:sz w:val="32"/>
          <w:szCs w:val="32"/>
        </w:rPr>
        <w:drawing>
          <wp:inline distT="0" distB="0" distL="0" distR="0">
            <wp:extent cx="5486400" cy="2371725"/>
            <wp:effectExtent l="0" t="0" r="19050" b="952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spacing w:line="540" w:lineRule="exact"/>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spacing w:line="540" w:lineRule="exact"/>
        <w:ind w:firstLine="640" w:firstLineChars="200"/>
        <w:jc w:val="left"/>
        <w:rPr>
          <w:rFonts w:ascii="仿宋_GB2312" w:hAnsi="Tahoma" w:eastAsia="仿宋_GB2312" w:cs="Tahoma"/>
          <w:color w:val="000000"/>
          <w:kern w:val="0"/>
          <w:sz w:val="22"/>
          <w:szCs w:val="22"/>
        </w:rPr>
      </w:pPr>
      <w:r>
        <w:rPr>
          <w:rFonts w:ascii="仿宋_GB2312" w:hAnsi="宋体" w:eastAsia="仿宋_GB2312" w:cs="仿宋_GB2312"/>
          <w:color w:val="000000"/>
          <w:kern w:val="0"/>
          <w:sz w:val="32"/>
          <w:szCs w:val="32"/>
          <w:lang w:bidi="ar"/>
        </w:rPr>
        <w:t>2020年财政拨款支出</w:t>
      </w:r>
      <w:r>
        <w:rPr>
          <w:rFonts w:hint="eastAsia" w:ascii="仿宋_GB2312" w:hAnsi="宋体" w:eastAsia="仿宋_GB2312" w:cs="仿宋_GB2312"/>
          <w:color w:val="000000"/>
          <w:kern w:val="0"/>
          <w:sz w:val="32"/>
          <w:szCs w:val="32"/>
          <w:lang w:val="en-US" w:eastAsia="zh-CN" w:bidi="ar"/>
        </w:rPr>
        <w:t>3224.62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，占本年支出合计的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相比，财政拨款支出增加</w:t>
      </w:r>
      <w:r>
        <w:rPr>
          <w:rFonts w:hint="eastAsia" w:ascii="仿宋_GB2312" w:hAnsi="宋体" w:eastAsia="仿宋_GB2312" w:cs="仿宋_GB2312"/>
          <w:color w:val="000000"/>
          <w:kern w:val="0"/>
          <w:sz w:val="32"/>
          <w:szCs w:val="32"/>
          <w:lang w:val="en-US" w:eastAsia="zh-CN" w:bidi="ar"/>
        </w:rPr>
        <w:t>637.68</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，增长</w:t>
      </w:r>
      <w:r>
        <w:rPr>
          <w:rFonts w:hint="eastAsia" w:ascii="仿宋_GB2312" w:hAnsi="宋体" w:eastAsia="仿宋_GB2312" w:cs="仿宋_GB2312"/>
          <w:color w:val="000000"/>
          <w:kern w:val="0"/>
          <w:sz w:val="32"/>
          <w:szCs w:val="32"/>
          <w:lang w:val="en-US" w:eastAsia="zh-CN" w:bidi="ar"/>
        </w:rPr>
        <w:t>25</w:t>
      </w:r>
      <w:r>
        <w:rPr>
          <w:rFonts w:ascii="仿宋_GB2312" w:hAnsi="宋体" w:eastAsia="仿宋_GB2312" w:cs="仿宋_GB2312"/>
          <w:color w:val="000000"/>
          <w:kern w:val="0"/>
          <w:sz w:val="32"/>
          <w:szCs w:val="32"/>
          <w:lang w:bidi="ar"/>
        </w:rPr>
        <w:t>%，</w:t>
      </w:r>
      <w:r>
        <w:rPr>
          <w:rFonts w:hint="eastAsia" w:ascii="仿宋_GB2312" w:hAnsi="宋体" w:eastAsia="仿宋_GB2312" w:cs="宋体"/>
          <w:sz w:val="32"/>
          <w:szCs w:val="32"/>
        </w:rPr>
        <w:t>主要原因是20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年美丽乡村建设、村集体经济补助、</w:t>
      </w:r>
      <w:r>
        <w:rPr>
          <w:rFonts w:hint="eastAsia" w:ascii="仿宋_GB2312" w:hAnsi="宋体" w:eastAsia="仿宋_GB2312" w:cs="宋体"/>
          <w:sz w:val="32"/>
          <w:szCs w:val="32"/>
          <w:lang w:eastAsia="zh-CN"/>
        </w:rPr>
        <w:t>农村文化设施建设、村干部报酬等</w:t>
      </w:r>
      <w:r>
        <w:rPr>
          <w:rFonts w:hint="eastAsia" w:ascii="仿宋_GB2312" w:hAnsi="宋体" w:eastAsia="仿宋_GB2312" w:cs="宋体"/>
          <w:sz w:val="32"/>
          <w:szCs w:val="32"/>
        </w:rPr>
        <w:t>增加。</w:t>
      </w:r>
    </w:p>
    <w:p>
      <w:pPr>
        <w:widowControl/>
        <w:spacing w:line="540" w:lineRule="exact"/>
        <w:jc w:val="left"/>
        <w:rPr>
          <w:rFonts w:ascii="仿宋_GB2312" w:hAnsi="宋体" w:eastAsia="仿宋_GB2312" w:cs="仿宋_GB2312"/>
          <w:color w:val="000000"/>
          <w:kern w:val="0"/>
          <w:sz w:val="32"/>
          <w:szCs w:val="32"/>
          <w:lang w:bidi="ar"/>
        </w:rPr>
      </w:pPr>
    </w:p>
    <w:p>
      <w:pPr>
        <w:widowControl/>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drawing>
          <wp:inline distT="0" distB="0" distL="0" distR="0">
            <wp:extent cx="5486400" cy="3200400"/>
            <wp:effectExtent l="0" t="0" r="19050" b="1905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54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spacing w:line="540" w:lineRule="exact"/>
        <w:ind w:firstLine="640" w:firstLineChars="200"/>
        <w:jc w:val="left"/>
      </w:pPr>
      <w:r>
        <w:rPr>
          <w:rFonts w:ascii="仿宋_GB2312" w:hAnsi="宋体" w:eastAsia="仿宋_GB2312" w:cs="仿宋_GB2312"/>
          <w:color w:val="000000"/>
          <w:kern w:val="0"/>
          <w:sz w:val="32"/>
          <w:szCs w:val="32"/>
          <w:lang w:bidi="ar"/>
        </w:rPr>
        <w:t>2020年财政拨款支出年初预算为</w:t>
      </w:r>
      <w:r>
        <w:rPr>
          <w:rFonts w:hint="eastAsia" w:ascii="仿宋_GB2312" w:hAnsi="宋体" w:eastAsia="仿宋_GB2312" w:cs="仿宋_GB2312"/>
          <w:color w:val="000000"/>
          <w:kern w:val="0"/>
          <w:sz w:val="32"/>
          <w:szCs w:val="32"/>
          <w:lang w:val="en-US" w:eastAsia="zh-CN" w:bidi="ar"/>
        </w:rPr>
        <w:t>2784.14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3224.62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，完成年初预算的</w:t>
      </w:r>
      <w:r>
        <w:rPr>
          <w:rFonts w:hint="eastAsia" w:ascii="仿宋_GB2312" w:hAnsi="宋体" w:eastAsia="仿宋_GB2312" w:cs="仿宋_GB2312"/>
          <w:color w:val="000000"/>
          <w:kern w:val="0"/>
          <w:sz w:val="32"/>
          <w:szCs w:val="32"/>
          <w:lang w:val="en-US" w:eastAsia="zh-CN" w:bidi="ar"/>
        </w:rPr>
        <w:t>116</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spacing w:line="540" w:lineRule="exact"/>
        <w:ind w:firstLine="643" w:firstLineChars="200"/>
        <w:jc w:val="left"/>
      </w:pPr>
      <w:r>
        <w:rPr>
          <w:rFonts w:ascii="仿宋_GB2312" w:hAnsi="宋体" w:eastAsia="仿宋_GB2312" w:cs="仿宋_GB2312"/>
          <w:b/>
          <w:color w:val="000000"/>
          <w:kern w:val="0"/>
          <w:sz w:val="32"/>
          <w:szCs w:val="32"/>
          <w:lang w:bidi="ar"/>
        </w:rPr>
        <w:t xml:space="preserve">一般公共服务支出（类）财政事务（款）行政运行（项）。 </w:t>
      </w:r>
    </w:p>
    <w:p>
      <w:pPr>
        <w:spacing w:line="540" w:lineRule="exact"/>
        <w:ind w:firstLine="640" w:firstLineChars="200"/>
        <w:rPr>
          <w:rFonts w:hint="eastAsia" w:ascii="仿宋_GB2312" w:hAnsi="宋体" w:eastAsia="仿宋_GB2312" w:cs="宋体"/>
          <w:sz w:val="32"/>
          <w:szCs w:val="32"/>
          <w:lang w:eastAsia="zh-CN"/>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2784.14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1814.26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，完成年初预算的</w:t>
      </w:r>
      <w:r>
        <w:rPr>
          <w:rFonts w:hint="eastAsia" w:ascii="仿宋_GB2312" w:hAnsi="宋体" w:eastAsia="仿宋_GB2312" w:cs="仿宋_GB2312"/>
          <w:color w:val="000000"/>
          <w:kern w:val="0"/>
          <w:sz w:val="32"/>
          <w:szCs w:val="32"/>
          <w:lang w:val="en-US" w:eastAsia="zh-CN" w:bidi="ar"/>
        </w:rPr>
        <w:t>65</w:t>
      </w:r>
      <w:r>
        <w:rPr>
          <w:rFonts w:ascii="仿宋_GB2312" w:hAnsi="宋体" w:eastAsia="仿宋_GB2312" w:cs="仿宋_GB2312"/>
          <w:color w:val="000000"/>
          <w:kern w:val="0"/>
          <w:sz w:val="32"/>
          <w:szCs w:val="32"/>
          <w:lang w:bidi="ar"/>
        </w:rPr>
        <w:t>%。决算数大于</w:t>
      </w:r>
      <w:r>
        <w:rPr>
          <w:rFonts w:hint="eastAsia" w:ascii="仿宋_GB2312" w:hAnsi="宋体" w:eastAsia="仿宋_GB2312" w:cs="宋体"/>
          <w:sz w:val="32"/>
          <w:szCs w:val="32"/>
        </w:rPr>
        <w:t>主要原因是20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计生人员及畜牧站人员增加。</w:t>
      </w:r>
    </w:p>
    <w:p>
      <w:pPr>
        <w:spacing w:line="54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widowControl/>
        <w:spacing w:line="540" w:lineRule="exact"/>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2020年一般公共预算财政拨款基本支出</w:t>
      </w:r>
      <w:r>
        <w:rPr>
          <w:rFonts w:hint="eastAsia" w:ascii="仿宋_GB2312" w:hAnsi="仿宋_GB2312" w:eastAsia="仿宋_GB2312" w:cs="仿宋_GB2312"/>
          <w:color w:val="000000"/>
          <w:kern w:val="0"/>
          <w:sz w:val="31"/>
          <w:szCs w:val="31"/>
          <w:lang w:val="en-US" w:eastAsia="zh-CN" w:bidi="ar"/>
        </w:rPr>
        <w:t>2585.08</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，包括：人员经费支出</w:t>
      </w:r>
      <w:r>
        <w:rPr>
          <w:rFonts w:hint="eastAsia" w:ascii="仿宋_GB2312" w:hAnsi="仿宋_GB2312" w:eastAsia="仿宋_GB2312" w:cs="仿宋_GB2312"/>
          <w:color w:val="000000"/>
          <w:kern w:val="0"/>
          <w:sz w:val="31"/>
          <w:szCs w:val="31"/>
          <w:lang w:val="en-US" w:eastAsia="zh-CN" w:bidi="ar"/>
        </w:rPr>
        <w:t>2254.47</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和公用经费支出</w:t>
      </w:r>
      <w:r>
        <w:rPr>
          <w:rFonts w:hint="eastAsia" w:ascii="仿宋_GB2312" w:hAnsi="仿宋_GB2312" w:eastAsia="仿宋_GB2312" w:cs="仿宋_GB2312"/>
          <w:color w:val="000000"/>
          <w:kern w:val="0"/>
          <w:sz w:val="31"/>
          <w:szCs w:val="31"/>
          <w:lang w:val="en-US" w:eastAsia="zh-CN" w:bidi="ar"/>
        </w:rPr>
        <w:t>330.61</w:t>
      </w:r>
      <w:r>
        <w:rPr>
          <w:rFonts w:hint="eastAsia" w:ascii="仿宋_GB2312" w:hAnsi="仿宋_GB2312" w:eastAsia="仿宋_GB2312" w:cs="仿宋_GB2312"/>
          <w:color w:val="000000"/>
          <w:kern w:val="0"/>
          <w:sz w:val="31"/>
          <w:szCs w:val="31"/>
          <w:lang w:bidi="ar"/>
        </w:rPr>
        <w:t>万元</w:t>
      </w:r>
      <w:r>
        <w:rPr>
          <w:rFonts w:ascii="仿宋_GB2312" w:hAnsi="仿宋_GB2312" w:eastAsia="仿宋_GB2312" w:cs="仿宋_GB2312"/>
          <w:color w:val="000000"/>
          <w:kern w:val="0"/>
          <w:sz w:val="31"/>
          <w:szCs w:val="31"/>
          <w:lang w:bidi="ar"/>
        </w:rPr>
        <w:t>。</w:t>
      </w:r>
    </w:p>
    <w:p>
      <w:pPr>
        <w:widowControl/>
        <w:spacing w:line="540" w:lineRule="exact"/>
        <w:ind w:firstLine="643"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2254.47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，主要包括基本工资</w:t>
      </w:r>
      <w:r>
        <w:rPr>
          <w:rFonts w:hint="eastAsia" w:ascii="仿宋_GB2312" w:hAnsi="宋体" w:eastAsia="仿宋_GB2312" w:cs="仿宋_GB2312"/>
          <w:color w:val="000000"/>
          <w:kern w:val="0"/>
          <w:sz w:val="32"/>
          <w:szCs w:val="32"/>
          <w:lang w:val="en-US" w:eastAsia="zh-CN" w:bidi="ar"/>
        </w:rPr>
        <w:t>668.03</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210.74万元，奖金10.97万元，养老保险115.28万元，职业年金119.74万元，医疗保险金68.76万元，其他社会保障缴费15.12万元，住房公积金74.85万元，其他工资福利支出107.97万元，对个人和家庭补助863.01万元。</w:t>
      </w:r>
    </w:p>
    <w:p>
      <w:pPr>
        <w:spacing w:line="360" w:lineRule="auto"/>
        <w:ind w:firstLine="643" w:firstLineChars="200"/>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b/>
          <w:bCs/>
          <w:color w:val="000000"/>
          <w:kern w:val="0"/>
          <w:sz w:val="32"/>
          <w:szCs w:val="32"/>
          <w:lang w:val="en-US" w:eastAsia="zh-CN" w:bidi="ar"/>
        </w:rPr>
        <w:t>330.61万元：</w:t>
      </w:r>
      <w:r>
        <w:rPr>
          <w:rFonts w:hint="eastAsia" w:ascii="仿宋_GB2312" w:hAnsi="宋体" w:eastAsia="仿宋_GB2312" w:cs="??_GB2312"/>
          <w:color w:val="000000"/>
          <w:kern w:val="0"/>
          <w:sz w:val="32"/>
          <w:szCs w:val="32"/>
        </w:rPr>
        <w:t>主要包括办公费</w:t>
      </w:r>
      <w:r>
        <w:rPr>
          <w:rFonts w:hint="eastAsia" w:ascii="仿宋_GB2312" w:hAnsi="宋体" w:eastAsia="仿宋_GB2312" w:cs="??_GB2312"/>
          <w:color w:val="000000"/>
          <w:kern w:val="0"/>
          <w:sz w:val="32"/>
          <w:szCs w:val="32"/>
          <w:lang w:val="en-US" w:eastAsia="zh-CN"/>
        </w:rPr>
        <w:t>52.83</w:t>
      </w:r>
      <w:r>
        <w:rPr>
          <w:rFonts w:hint="eastAsia" w:ascii="仿宋_GB2312" w:hAnsi="宋体" w:eastAsia="仿宋_GB2312" w:cs="??_GB2312"/>
          <w:color w:val="000000"/>
          <w:kern w:val="0"/>
          <w:sz w:val="32"/>
          <w:szCs w:val="32"/>
        </w:rPr>
        <w:t>万元，印刷费</w:t>
      </w:r>
      <w:r>
        <w:rPr>
          <w:rFonts w:hint="eastAsia" w:ascii="仿宋_GB2312" w:hAnsi="宋体" w:eastAsia="仿宋_GB2312" w:cs="??_GB2312"/>
          <w:color w:val="000000"/>
          <w:kern w:val="0"/>
          <w:sz w:val="32"/>
          <w:szCs w:val="32"/>
          <w:lang w:val="en-US" w:eastAsia="zh-CN"/>
        </w:rPr>
        <w:t>12.93</w:t>
      </w:r>
      <w:r>
        <w:rPr>
          <w:rFonts w:hint="eastAsia" w:ascii="仿宋_GB2312" w:hAnsi="宋体" w:eastAsia="仿宋_GB2312" w:cs="??_GB2312"/>
          <w:color w:val="000000"/>
          <w:kern w:val="0"/>
          <w:sz w:val="32"/>
          <w:szCs w:val="32"/>
        </w:rPr>
        <w:t>万元，水费</w:t>
      </w:r>
      <w:r>
        <w:rPr>
          <w:rFonts w:hint="eastAsia" w:ascii="仿宋_GB2312" w:hAnsi="宋体" w:eastAsia="仿宋_GB2312" w:cs="??_GB2312"/>
          <w:color w:val="000000"/>
          <w:kern w:val="0"/>
          <w:sz w:val="32"/>
          <w:szCs w:val="32"/>
          <w:lang w:val="en-US" w:eastAsia="zh-CN"/>
        </w:rPr>
        <w:t>3.21</w:t>
      </w:r>
      <w:r>
        <w:rPr>
          <w:rFonts w:hint="eastAsia" w:ascii="仿宋_GB2312" w:hAnsi="宋体" w:eastAsia="仿宋_GB2312" w:cs="??_GB2312"/>
          <w:color w:val="000000"/>
          <w:kern w:val="0"/>
          <w:sz w:val="32"/>
          <w:szCs w:val="32"/>
        </w:rPr>
        <w:t>万元，电费</w:t>
      </w:r>
      <w:r>
        <w:rPr>
          <w:rFonts w:hint="eastAsia" w:ascii="仿宋_GB2312" w:hAnsi="宋体" w:eastAsia="仿宋_GB2312" w:cs="??_GB2312"/>
          <w:color w:val="000000"/>
          <w:kern w:val="0"/>
          <w:sz w:val="32"/>
          <w:szCs w:val="32"/>
          <w:lang w:val="en-US" w:eastAsia="zh-CN"/>
        </w:rPr>
        <w:t>5.22</w:t>
      </w:r>
      <w:r>
        <w:rPr>
          <w:rFonts w:hint="eastAsia" w:ascii="仿宋_GB2312" w:hAnsi="宋体" w:eastAsia="仿宋_GB2312" w:cs="??_GB2312"/>
          <w:color w:val="000000"/>
          <w:kern w:val="0"/>
          <w:sz w:val="32"/>
          <w:szCs w:val="32"/>
        </w:rPr>
        <w:t>万元，邮电费</w:t>
      </w:r>
      <w:r>
        <w:rPr>
          <w:rFonts w:hint="eastAsia" w:ascii="仿宋_GB2312" w:hAnsi="宋体" w:eastAsia="仿宋_GB2312" w:cs="??_GB2312"/>
          <w:color w:val="000000"/>
          <w:kern w:val="0"/>
          <w:sz w:val="32"/>
          <w:szCs w:val="32"/>
          <w:lang w:val="en-US" w:eastAsia="zh-CN"/>
        </w:rPr>
        <w:t>8.69</w:t>
      </w:r>
      <w:r>
        <w:rPr>
          <w:rFonts w:hint="eastAsia" w:ascii="仿宋_GB2312" w:hAnsi="宋体" w:eastAsia="仿宋_GB2312" w:cs="??_GB2312"/>
          <w:color w:val="000000"/>
          <w:kern w:val="0"/>
          <w:sz w:val="32"/>
          <w:szCs w:val="32"/>
        </w:rPr>
        <w:t>万元，取暖费</w:t>
      </w:r>
      <w:r>
        <w:rPr>
          <w:rFonts w:hint="eastAsia" w:ascii="仿宋_GB2312" w:hAnsi="宋体" w:eastAsia="仿宋_GB2312" w:cs="??_GB2312"/>
          <w:color w:val="000000"/>
          <w:kern w:val="0"/>
          <w:sz w:val="32"/>
          <w:szCs w:val="32"/>
          <w:lang w:val="en-US" w:eastAsia="zh-CN"/>
        </w:rPr>
        <w:t>67.56</w:t>
      </w:r>
      <w:r>
        <w:rPr>
          <w:rFonts w:hint="eastAsia" w:ascii="仿宋_GB2312" w:hAnsi="宋体" w:eastAsia="仿宋_GB2312" w:cs="??_GB2312"/>
          <w:color w:val="000000"/>
          <w:kern w:val="0"/>
          <w:sz w:val="32"/>
          <w:szCs w:val="32"/>
        </w:rPr>
        <w:t>万元，差旅费</w:t>
      </w:r>
      <w:r>
        <w:rPr>
          <w:rFonts w:hint="eastAsia" w:ascii="仿宋_GB2312" w:hAnsi="宋体" w:eastAsia="仿宋_GB2312" w:cs="??_GB2312"/>
          <w:color w:val="000000"/>
          <w:kern w:val="0"/>
          <w:sz w:val="32"/>
          <w:szCs w:val="32"/>
          <w:lang w:val="en-US" w:eastAsia="zh-CN"/>
        </w:rPr>
        <w:t>26.41</w:t>
      </w:r>
      <w:r>
        <w:rPr>
          <w:rFonts w:hint="eastAsia" w:ascii="仿宋_GB2312" w:hAnsi="宋体" w:eastAsia="仿宋_GB2312" w:cs="??_GB2312"/>
          <w:color w:val="000000"/>
          <w:kern w:val="0"/>
          <w:sz w:val="32"/>
          <w:szCs w:val="32"/>
        </w:rPr>
        <w:t>万元，维修（护）费</w:t>
      </w:r>
      <w:r>
        <w:rPr>
          <w:rFonts w:hint="eastAsia" w:ascii="仿宋_GB2312" w:hAnsi="宋体" w:eastAsia="仿宋_GB2312" w:cs="??_GB2312"/>
          <w:color w:val="000000"/>
          <w:kern w:val="0"/>
          <w:sz w:val="32"/>
          <w:szCs w:val="32"/>
          <w:lang w:val="en-US" w:eastAsia="zh-CN"/>
        </w:rPr>
        <w:t>7.05</w:t>
      </w:r>
      <w:r>
        <w:rPr>
          <w:rFonts w:hint="eastAsia" w:ascii="仿宋_GB2312" w:hAnsi="宋体" w:eastAsia="仿宋_GB2312" w:cs="??_GB2312"/>
          <w:color w:val="000000"/>
          <w:kern w:val="0"/>
          <w:sz w:val="32"/>
          <w:szCs w:val="32"/>
        </w:rPr>
        <w:t>万元，培训费</w:t>
      </w:r>
      <w:r>
        <w:rPr>
          <w:rFonts w:hint="eastAsia" w:ascii="仿宋_GB2312" w:hAnsi="宋体" w:eastAsia="仿宋_GB2312" w:cs="??_GB2312"/>
          <w:color w:val="000000"/>
          <w:kern w:val="0"/>
          <w:sz w:val="32"/>
          <w:szCs w:val="32"/>
          <w:lang w:val="en-US" w:eastAsia="zh-CN"/>
        </w:rPr>
        <w:t>2.88</w:t>
      </w:r>
      <w:r>
        <w:rPr>
          <w:rFonts w:hint="eastAsia" w:ascii="仿宋_GB2312" w:hAnsi="宋体" w:eastAsia="仿宋_GB2312" w:cs="??_GB2312"/>
          <w:color w:val="000000"/>
          <w:kern w:val="0"/>
          <w:sz w:val="32"/>
          <w:szCs w:val="32"/>
        </w:rPr>
        <w:t>万元，公务招待费</w:t>
      </w:r>
      <w:r>
        <w:rPr>
          <w:rFonts w:hint="eastAsia" w:ascii="仿宋_GB2312" w:hAnsi="宋体" w:eastAsia="仿宋_GB2312" w:cs="??_GB2312"/>
          <w:color w:val="000000"/>
          <w:kern w:val="0"/>
          <w:sz w:val="32"/>
          <w:szCs w:val="32"/>
          <w:lang w:val="en-US" w:eastAsia="zh-CN"/>
        </w:rPr>
        <w:t>2.21</w:t>
      </w:r>
      <w:r>
        <w:rPr>
          <w:rFonts w:hint="eastAsia" w:ascii="仿宋_GB2312" w:hAnsi="宋体" w:eastAsia="仿宋_GB2312" w:cs="??_GB2312"/>
          <w:color w:val="000000"/>
          <w:kern w:val="0"/>
          <w:sz w:val="32"/>
          <w:szCs w:val="32"/>
        </w:rPr>
        <w:t>万元，劳务费</w:t>
      </w:r>
      <w:r>
        <w:rPr>
          <w:rFonts w:hint="eastAsia" w:ascii="仿宋_GB2312" w:hAnsi="宋体" w:eastAsia="仿宋_GB2312" w:cs="??_GB2312"/>
          <w:color w:val="000000"/>
          <w:kern w:val="0"/>
          <w:sz w:val="32"/>
          <w:szCs w:val="32"/>
          <w:lang w:val="en-US" w:eastAsia="zh-CN"/>
        </w:rPr>
        <w:t>28.9</w:t>
      </w:r>
      <w:r>
        <w:rPr>
          <w:rFonts w:hint="eastAsia" w:ascii="仿宋_GB2312" w:hAnsi="宋体" w:eastAsia="仿宋_GB2312" w:cs="??_GB2312"/>
          <w:color w:val="000000"/>
          <w:kern w:val="0"/>
          <w:sz w:val="32"/>
          <w:szCs w:val="32"/>
        </w:rPr>
        <w:t>万元，会议费</w:t>
      </w:r>
      <w:r>
        <w:rPr>
          <w:rFonts w:hint="eastAsia" w:ascii="仿宋_GB2312" w:hAnsi="宋体" w:eastAsia="仿宋_GB2312" w:cs="??_GB2312"/>
          <w:color w:val="000000"/>
          <w:kern w:val="0"/>
          <w:sz w:val="32"/>
          <w:szCs w:val="32"/>
          <w:lang w:val="en-US" w:eastAsia="zh-CN"/>
        </w:rPr>
        <w:t>2.95</w:t>
      </w:r>
      <w:r>
        <w:rPr>
          <w:rFonts w:hint="eastAsia" w:ascii="仿宋_GB2312" w:hAnsi="宋体" w:eastAsia="仿宋_GB2312" w:cs="??_GB2312"/>
          <w:color w:val="000000"/>
          <w:kern w:val="0"/>
          <w:sz w:val="32"/>
          <w:szCs w:val="32"/>
        </w:rPr>
        <w:t>万元，工会会费</w:t>
      </w:r>
      <w:r>
        <w:rPr>
          <w:rFonts w:hint="eastAsia" w:ascii="仿宋_GB2312" w:hAnsi="宋体" w:eastAsia="仿宋_GB2312" w:cs="??_GB2312"/>
          <w:color w:val="000000"/>
          <w:kern w:val="0"/>
          <w:sz w:val="32"/>
          <w:szCs w:val="32"/>
          <w:lang w:val="en-US" w:eastAsia="zh-CN"/>
        </w:rPr>
        <w:t>17.5</w:t>
      </w:r>
      <w:r>
        <w:rPr>
          <w:rFonts w:hint="eastAsia" w:ascii="仿宋_GB2312" w:hAnsi="宋体" w:eastAsia="仿宋_GB2312" w:cs="??_GB2312"/>
          <w:color w:val="000000"/>
          <w:kern w:val="0"/>
          <w:sz w:val="32"/>
          <w:szCs w:val="32"/>
        </w:rPr>
        <w:t>万元，公务用车运行维护费</w:t>
      </w:r>
      <w:r>
        <w:rPr>
          <w:rFonts w:hint="eastAsia" w:ascii="仿宋_GB2312" w:hAnsi="宋体" w:eastAsia="仿宋_GB2312" w:cs="??_GB2312"/>
          <w:color w:val="000000"/>
          <w:kern w:val="0"/>
          <w:sz w:val="32"/>
          <w:szCs w:val="32"/>
          <w:lang w:val="en-US" w:eastAsia="zh-CN"/>
        </w:rPr>
        <w:t>3.21</w:t>
      </w:r>
      <w:r>
        <w:rPr>
          <w:rFonts w:hint="eastAsia" w:ascii="仿宋_GB2312" w:hAnsi="宋体" w:eastAsia="仿宋_GB2312" w:cs="??_GB2312"/>
          <w:color w:val="000000"/>
          <w:kern w:val="0"/>
          <w:sz w:val="32"/>
          <w:szCs w:val="32"/>
        </w:rPr>
        <w:t>万元，其他交通费用</w:t>
      </w:r>
      <w:r>
        <w:rPr>
          <w:rFonts w:hint="eastAsia" w:ascii="仿宋_GB2312" w:hAnsi="宋体" w:eastAsia="仿宋_GB2312" w:cs="??_GB2312"/>
          <w:color w:val="000000"/>
          <w:kern w:val="0"/>
          <w:sz w:val="32"/>
          <w:szCs w:val="32"/>
          <w:lang w:val="en-US" w:eastAsia="zh-CN"/>
        </w:rPr>
        <w:t>33.6</w:t>
      </w:r>
      <w:r>
        <w:rPr>
          <w:rFonts w:hint="eastAsia" w:ascii="仿宋_GB2312" w:hAnsi="宋体" w:eastAsia="仿宋_GB2312" w:cs="??_GB2312"/>
          <w:color w:val="000000"/>
          <w:kern w:val="0"/>
          <w:sz w:val="32"/>
          <w:szCs w:val="32"/>
        </w:rPr>
        <w:t>万元，其他商品与服务支出</w:t>
      </w:r>
      <w:r>
        <w:rPr>
          <w:rFonts w:hint="eastAsia" w:ascii="仿宋_GB2312" w:hAnsi="宋体" w:eastAsia="仿宋_GB2312" w:cs="??_GB2312"/>
          <w:color w:val="000000"/>
          <w:kern w:val="0"/>
          <w:sz w:val="32"/>
          <w:szCs w:val="32"/>
          <w:lang w:val="en-US" w:eastAsia="zh-CN"/>
        </w:rPr>
        <w:t>55.43</w:t>
      </w:r>
      <w:r>
        <w:rPr>
          <w:rFonts w:hint="eastAsia" w:ascii="仿宋_GB2312" w:hAnsi="宋体" w:eastAsia="仿宋_GB2312" w:cs="??_GB2312"/>
          <w:color w:val="000000"/>
          <w:kern w:val="0"/>
          <w:sz w:val="32"/>
          <w:szCs w:val="32"/>
        </w:rPr>
        <w:t>万元。</w:t>
      </w:r>
    </w:p>
    <w:p>
      <w:pPr>
        <w:spacing w:line="54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spacing w:line="540" w:lineRule="exact"/>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spacing w:line="540" w:lineRule="exact"/>
        <w:ind w:firstLine="640" w:firstLineChars="200"/>
        <w:jc w:val="left"/>
      </w:pPr>
      <w:r>
        <w:rPr>
          <w:rFonts w:ascii="仿宋_GB2312" w:hAnsi="宋体" w:eastAsia="仿宋_GB2312" w:cs="仿宋_GB2312"/>
          <w:color w:val="000000"/>
          <w:kern w:val="0"/>
          <w:sz w:val="32"/>
          <w:szCs w:val="32"/>
          <w:lang w:bidi="ar"/>
        </w:rPr>
        <w:t>2020年“三公”经费财政拨款支出预算为</w:t>
      </w:r>
      <w:r>
        <w:rPr>
          <w:rFonts w:hint="eastAsia" w:ascii="仿宋_GB2312" w:hAnsi="宋体" w:eastAsia="仿宋_GB2312" w:cs="仿宋_GB2312"/>
          <w:color w:val="000000"/>
          <w:kern w:val="0"/>
          <w:sz w:val="32"/>
          <w:szCs w:val="32"/>
          <w:lang w:val="en-US" w:eastAsia="zh-CN" w:bidi="ar"/>
        </w:rPr>
        <w:t>6.5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5.42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83</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1.08</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公务接待尽可能安排在机关灶上进行、合并会议项目、压缩培训次数</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2020年“三公”经费财政拨款支出决算中，因公出国（境）费支出决算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3.21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59</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2.21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w:t>
      </w:r>
      <w:r>
        <w:rPr>
          <w:rFonts w:hint="eastAsia" w:ascii="仿宋_GB2312" w:hAnsi="宋体" w:eastAsia="仿宋_GB2312" w:cs="仿宋_GB2312"/>
          <w:color w:val="000000"/>
          <w:kern w:val="0"/>
          <w:sz w:val="32"/>
          <w:szCs w:val="32"/>
          <w:lang w:val="en-US" w:eastAsia="zh-CN" w:bidi="ar"/>
        </w:rPr>
        <w:t>41</w:t>
      </w:r>
      <w:r>
        <w:rPr>
          <w:rFonts w:ascii="仿宋_GB2312" w:hAnsi="宋体" w:eastAsia="仿宋_GB2312" w:cs="仿宋_GB2312"/>
          <w:color w:val="000000"/>
          <w:kern w:val="0"/>
          <w:sz w:val="32"/>
          <w:szCs w:val="32"/>
          <w:lang w:bidi="ar"/>
        </w:rPr>
        <w:t>%。具体情况如下</w:t>
      </w:r>
      <w:r>
        <w:rPr>
          <w:rFonts w:hint="eastAsia" w:ascii="仿宋_GB2312" w:hAnsi="宋体" w:eastAsia="仿宋_GB2312" w:cs="仿宋_GB2312"/>
          <w:color w:val="000000"/>
          <w:kern w:val="0"/>
          <w:sz w:val="32"/>
          <w:szCs w:val="32"/>
          <w:lang w:bidi="ar"/>
        </w:rPr>
        <w:t>：</w:t>
      </w:r>
    </w:p>
    <w:p>
      <w:pPr>
        <w:pStyle w:val="2"/>
        <w:jc w:val="center"/>
      </w:pPr>
      <w:r>
        <w:rPr>
          <w:rFonts w:hint="eastAsia"/>
        </w:rPr>
        <w:drawing>
          <wp:inline distT="0" distB="0" distL="114300" distR="114300">
            <wp:extent cx="4241800" cy="2715260"/>
            <wp:effectExtent l="4445" t="4445" r="20955"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54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spacing w:line="540" w:lineRule="exact"/>
        <w:ind w:firstLine="640" w:firstLineChars="200"/>
        <w:jc w:val="left"/>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spacing w:line="540" w:lineRule="exact"/>
        <w:ind w:firstLine="640" w:firstLineChars="200"/>
        <w:jc w:val="left"/>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台（如没有支出填0），</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3.21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80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0.79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非紧急事项提倡乘坐公共交通工具</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年公务接待</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2.21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88</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0.29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公务接待尽可能安排在机关灶上进行</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ascii="仿宋_GB2312" w:hAnsi="仿宋" w:eastAsia="仿宋_GB2312"/>
          <w:sz w:val="32"/>
          <w:szCs w:val="32"/>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2.88</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96</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0.12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压缩培训次数</w:t>
      </w:r>
      <w:r>
        <w:rPr>
          <w:rFonts w:hint="eastAsia" w:ascii="仿宋_GB2312" w:hAnsi="宋体" w:eastAsia="仿宋_GB2312" w:cs="仿宋_GB2312"/>
          <w:color w:val="000000"/>
          <w:kern w:val="0"/>
          <w:sz w:val="32"/>
          <w:szCs w:val="32"/>
          <w:lang w:bidi="ar"/>
        </w:rPr>
        <w:t>。</w:t>
      </w:r>
    </w:p>
    <w:p>
      <w:pPr>
        <w:spacing w:line="540" w:lineRule="exact"/>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widowControl/>
        <w:spacing w:line="540" w:lineRule="exact"/>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示例：20</w:t>
      </w:r>
      <w:r>
        <w:rPr>
          <w:rFonts w:ascii="仿宋_GB2312" w:hAnsi="仿宋" w:eastAsia="仿宋_GB2312"/>
          <w:sz w:val="32"/>
          <w:szCs w:val="32"/>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2.95</w:t>
      </w:r>
      <w:r>
        <w:rPr>
          <w:rFonts w:hint="eastAsia"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84</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0.55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合并会议项目</w:t>
      </w:r>
      <w:r>
        <w:rPr>
          <w:rFonts w:hint="eastAsia" w:ascii="仿宋_GB2312" w:hAnsi="宋体" w:eastAsia="仿宋_GB2312" w:cs="仿宋_GB2312"/>
          <w:color w:val="000000"/>
          <w:kern w:val="0"/>
          <w:sz w:val="32"/>
          <w:szCs w:val="32"/>
          <w:lang w:bidi="ar"/>
        </w:rPr>
        <w:t>。</w:t>
      </w:r>
    </w:p>
    <w:p>
      <w:pPr>
        <w:spacing w:line="540" w:lineRule="exact"/>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九、国有资本经营财政拨款收入支出情况说明</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spacing w:line="540" w:lineRule="exact"/>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十、预算绩效情况说明</w:t>
      </w:r>
    </w:p>
    <w:p>
      <w:pPr>
        <w:widowControl/>
        <w:spacing w:line="540" w:lineRule="exact"/>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spacing w:line="360" w:lineRule="auto"/>
        <w:ind w:firstLine="640" w:firstLineChars="200"/>
        <w:jc w:val="left"/>
        <w:rPr>
          <w:rFonts w:ascii="仿宋_GB2312" w:eastAsia="仿宋_GB2312"/>
        </w:rPr>
      </w:pPr>
      <w:r>
        <w:rPr>
          <w:rFonts w:hint="eastAsia" w:ascii="仿宋_GB2312" w:hAnsi="宋体" w:eastAsia="仿宋_GB2312" w:cs="宋体"/>
          <w:sz w:val="32"/>
          <w:szCs w:val="32"/>
        </w:rPr>
        <w:t>根据预算绩效管理要求，本部门组织对</w:t>
      </w:r>
      <w:r>
        <w:rPr>
          <w:rFonts w:hint="eastAsia" w:ascii="仿宋_GB2312" w:hAnsi="??_GB2312" w:eastAsia="仿宋_GB2312" w:cs="??_GB2312"/>
          <w:sz w:val="32"/>
          <w:szCs w:val="32"/>
        </w:rPr>
        <w:t xml:space="preserve"> 20</w:t>
      </w:r>
      <w:r>
        <w:rPr>
          <w:rFonts w:hint="eastAsia" w:ascii="仿宋_GB2312" w:hAnsi="??_GB2312" w:eastAsia="仿宋_GB2312" w:cs="??_GB2312"/>
          <w:sz w:val="32"/>
          <w:szCs w:val="32"/>
          <w:lang w:val="en-US" w:eastAsia="zh-CN"/>
        </w:rPr>
        <w:t>20</w:t>
      </w:r>
      <w:r>
        <w:rPr>
          <w:rFonts w:hint="eastAsia" w:ascii="仿宋_GB2312" w:hAnsi="宋体" w:eastAsia="仿宋_GB2312" w:cs="宋体"/>
          <w:sz w:val="32"/>
          <w:szCs w:val="32"/>
        </w:rPr>
        <w:t>年一般公共预算项目支出全面开展绩效自评，共涉及资金</w:t>
      </w:r>
      <w:r>
        <w:rPr>
          <w:rFonts w:hint="eastAsia" w:ascii="仿宋_GB2312" w:hAnsi="??_GB2312" w:eastAsia="仿宋_GB2312" w:cs="??_GB2312"/>
          <w:sz w:val="32"/>
          <w:szCs w:val="32"/>
          <w:lang w:val="en-US" w:eastAsia="zh-CN"/>
        </w:rPr>
        <w:t>639.54</w:t>
      </w:r>
      <w:r>
        <w:rPr>
          <w:rFonts w:hint="eastAsia" w:ascii="仿宋_GB2312" w:hAnsi="宋体" w:eastAsia="仿宋_GB2312" w:cs="宋体"/>
          <w:sz w:val="32"/>
          <w:szCs w:val="32"/>
        </w:rPr>
        <w:t>万元，占一般公共预算项目支出总额的</w:t>
      </w:r>
      <w:r>
        <w:rPr>
          <w:rFonts w:hint="eastAsia" w:ascii="仿宋_GB2312" w:hAnsi="??_GB2312" w:eastAsia="仿宋_GB2312" w:cs="??_GB2312"/>
          <w:sz w:val="32"/>
          <w:szCs w:val="32"/>
          <w:lang w:val="en-US" w:eastAsia="zh-CN"/>
        </w:rPr>
        <w:t>20</w:t>
      </w:r>
      <w:r>
        <w:rPr>
          <w:rFonts w:hint="eastAsia" w:ascii="仿宋_GB2312" w:hAnsi="??_GB2312" w:eastAsia="仿宋_GB2312" w:cs="??_GB2312"/>
          <w:sz w:val="32"/>
          <w:szCs w:val="32"/>
        </w:rPr>
        <w:t>%</w:t>
      </w:r>
      <w:r>
        <w:rPr>
          <w:rFonts w:hint="eastAsia" w:ascii="仿宋_GB2312" w:hAnsi="宋体" w:eastAsia="仿宋_GB2312" w:cs="宋体"/>
          <w:sz w:val="32"/>
          <w:szCs w:val="32"/>
        </w:rPr>
        <w:t>。本部门无政府性基金预算项目。</w:t>
      </w:r>
    </w:p>
    <w:p>
      <w:pPr>
        <w:widowControl/>
        <w:spacing w:line="540" w:lineRule="exact"/>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spacing w:line="360" w:lineRule="auto"/>
        <w:ind w:firstLine="620" w:firstLineChars="200"/>
        <w:jc w:val="left"/>
        <w:rPr>
          <w:rFonts w:ascii="仿宋_GB2312" w:hAnsi="??_GB2312" w:eastAsia="仿宋_GB2312" w:cs="??_GB2312"/>
          <w:color w:val="000000"/>
          <w:kern w:val="0"/>
          <w:sz w:val="32"/>
          <w:szCs w:val="32"/>
        </w:rPr>
      </w:pPr>
      <w:r>
        <w:rPr>
          <w:rFonts w:hint="eastAsia" w:ascii="仿宋_GB2312" w:hAnsi="仿宋_GB2312" w:eastAsia="仿宋_GB2312" w:cs="仿宋_GB2312"/>
          <w:color w:val="000000"/>
          <w:kern w:val="0"/>
          <w:sz w:val="31"/>
          <w:szCs w:val="31"/>
          <w:lang w:bidi="ar"/>
        </w:rPr>
        <w:t>1.</w:t>
      </w:r>
      <w:r>
        <w:rPr>
          <w:rFonts w:hint="eastAsia" w:ascii="仿宋_GB2312" w:hAnsi="宋体" w:eastAsia="仿宋_GB2312" w:cs="宋体"/>
          <w:color w:val="000000"/>
          <w:kern w:val="0"/>
          <w:sz w:val="32"/>
          <w:szCs w:val="32"/>
        </w:rPr>
        <w:t>蔡家坡镇</w:t>
      </w:r>
      <w:r>
        <w:rPr>
          <w:rFonts w:hint="eastAsia" w:ascii="仿宋_GB2312" w:hAnsi="宋体" w:eastAsia="仿宋_GB2312" w:cs="宋体"/>
          <w:color w:val="000000"/>
          <w:kern w:val="0"/>
          <w:sz w:val="32"/>
          <w:szCs w:val="32"/>
          <w:lang w:eastAsia="zh-CN"/>
        </w:rPr>
        <w:t>社区</w:t>
      </w:r>
      <w:r>
        <w:rPr>
          <w:rFonts w:hint="eastAsia" w:ascii="仿宋_GB2312" w:hAnsi="宋体" w:eastAsia="仿宋_GB2312" w:cs="宋体"/>
          <w:color w:val="000000"/>
          <w:kern w:val="0"/>
          <w:sz w:val="32"/>
          <w:szCs w:val="32"/>
        </w:rPr>
        <w:t>建设项目绩效自评综述：根据年初设定的绩效目标，项目自评得分</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分。项目全年预算数</w:t>
      </w:r>
      <w:r>
        <w:rPr>
          <w:rFonts w:hint="eastAsia" w:ascii="仿宋_GB2312" w:hAnsi="??_GB2312" w:eastAsia="仿宋_GB2312" w:cs="??_GB2312"/>
          <w:color w:val="000000"/>
          <w:kern w:val="0"/>
          <w:sz w:val="32"/>
          <w:szCs w:val="32"/>
          <w:lang w:val="en-US" w:eastAsia="zh-CN"/>
        </w:rPr>
        <w:t>15</w:t>
      </w:r>
      <w:r>
        <w:rPr>
          <w:rFonts w:hint="eastAsia" w:ascii="仿宋_GB2312" w:hAnsi="宋体" w:eastAsia="仿宋_GB2312" w:cs="宋体"/>
          <w:color w:val="000000"/>
          <w:kern w:val="0"/>
          <w:sz w:val="32"/>
          <w:szCs w:val="32"/>
        </w:rPr>
        <w:t>万元，执行数</w:t>
      </w:r>
      <w:r>
        <w:rPr>
          <w:rFonts w:hint="eastAsia" w:ascii="仿宋_GB2312" w:hAnsi="??_GB2312" w:eastAsia="仿宋_GB2312" w:cs="??_GB2312"/>
          <w:color w:val="000000"/>
          <w:kern w:val="0"/>
          <w:sz w:val="32"/>
          <w:szCs w:val="32"/>
          <w:lang w:val="en-US" w:eastAsia="zh-CN"/>
        </w:rPr>
        <w:t>15</w:t>
      </w:r>
      <w:r>
        <w:rPr>
          <w:rFonts w:hint="eastAsia" w:ascii="仿宋_GB2312" w:hAnsi="宋体" w:eastAsia="仿宋_GB2312" w:cs="宋体"/>
          <w:color w:val="000000"/>
          <w:kern w:val="0"/>
          <w:sz w:val="32"/>
          <w:szCs w:val="32"/>
        </w:rPr>
        <w:t>万元，完成预算的</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。主要产出和效果：通过项目实施改善群众的文化活动场所建设，丰富群众的文化生活，提高群众的生活水平。</w:t>
      </w:r>
    </w:p>
    <w:p>
      <w:pPr>
        <w:widowControl/>
        <w:spacing w:line="360" w:lineRule="auto"/>
        <w:ind w:firstLine="620" w:firstLineChars="200"/>
        <w:jc w:val="left"/>
        <w:rPr>
          <w:rFonts w:ascii="仿宋_GB2312" w:hAnsi="??_GB2312" w:eastAsia="仿宋_GB2312" w:cs="??_GB2312"/>
          <w:color w:val="000000"/>
          <w:kern w:val="0"/>
          <w:sz w:val="32"/>
          <w:szCs w:val="32"/>
        </w:rPr>
      </w:pPr>
      <w:r>
        <w:rPr>
          <w:rFonts w:hint="eastAsia" w:ascii="仿宋_GB2312" w:hAnsi="仿宋_GB2312" w:eastAsia="仿宋_GB2312" w:cs="仿宋_GB2312"/>
          <w:color w:val="000000"/>
          <w:kern w:val="0"/>
          <w:sz w:val="31"/>
          <w:szCs w:val="31"/>
          <w:lang w:bidi="ar"/>
        </w:rPr>
        <w:t>2.</w:t>
      </w:r>
      <w:r>
        <w:rPr>
          <w:rFonts w:hint="eastAsia" w:ascii="仿宋_GB2312" w:hAnsi="宋体" w:eastAsia="仿宋_GB2312" w:cs="宋体"/>
          <w:color w:val="000000"/>
          <w:kern w:val="0"/>
          <w:sz w:val="32"/>
          <w:szCs w:val="32"/>
        </w:rPr>
        <w:t>病媒生物防治项目绩效自评综述：根据年初设定的绩效目标，项目自评得分</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分。项目全年预算数</w:t>
      </w:r>
      <w:r>
        <w:rPr>
          <w:rFonts w:hint="eastAsia" w:ascii="仿宋_GB2312" w:hAnsi="??_GB2312" w:eastAsia="仿宋_GB2312" w:cs="??_GB2312"/>
          <w:color w:val="000000"/>
          <w:kern w:val="0"/>
          <w:sz w:val="32"/>
          <w:szCs w:val="32"/>
          <w:lang w:val="en-US" w:eastAsia="zh-CN"/>
        </w:rPr>
        <w:t>19.02</w:t>
      </w:r>
      <w:r>
        <w:rPr>
          <w:rFonts w:hint="eastAsia" w:ascii="仿宋_GB2312" w:hAnsi="宋体" w:eastAsia="仿宋_GB2312" w:cs="宋体"/>
          <w:color w:val="000000"/>
          <w:kern w:val="0"/>
          <w:sz w:val="32"/>
          <w:szCs w:val="32"/>
        </w:rPr>
        <w:t>万元，执行数</w:t>
      </w:r>
      <w:r>
        <w:rPr>
          <w:rFonts w:hint="eastAsia" w:ascii="仿宋_GB2312" w:hAnsi="??_GB2312" w:eastAsia="仿宋_GB2312" w:cs="??_GB2312"/>
          <w:color w:val="000000"/>
          <w:kern w:val="0"/>
          <w:sz w:val="32"/>
          <w:szCs w:val="32"/>
          <w:lang w:val="en-US" w:eastAsia="zh-CN"/>
        </w:rPr>
        <w:t>19.02</w:t>
      </w:r>
      <w:r>
        <w:rPr>
          <w:rFonts w:hint="eastAsia" w:ascii="仿宋_GB2312" w:hAnsi="宋体" w:eastAsia="仿宋_GB2312" w:cs="宋体"/>
          <w:color w:val="000000"/>
          <w:kern w:val="0"/>
          <w:sz w:val="32"/>
          <w:szCs w:val="32"/>
        </w:rPr>
        <w:t>万元，完成预算的</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。主要产出和效果：开展除四害工作，全面治理城乡环境卫生，加强环境保洁，真正让群众满意。</w:t>
      </w:r>
    </w:p>
    <w:p>
      <w:pPr>
        <w:widowControl/>
        <w:spacing w:line="360" w:lineRule="auto"/>
        <w:ind w:firstLine="620" w:firstLineChars="200"/>
        <w:jc w:val="left"/>
        <w:rPr>
          <w:rFonts w:hint="eastAsia" w:ascii="仿宋_GB2312" w:hAnsi="宋体" w:eastAsia="仿宋_GB2312" w:cs="宋体"/>
          <w:color w:val="000000"/>
          <w:kern w:val="0"/>
          <w:sz w:val="32"/>
          <w:szCs w:val="32"/>
        </w:rPr>
      </w:pPr>
      <w:r>
        <w:rPr>
          <w:rFonts w:hint="eastAsia" w:ascii="仿宋_GB2312" w:hAnsi="仿宋_GB2312" w:eastAsia="仿宋_GB2312" w:cs="仿宋_GB2312"/>
          <w:color w:val="000000"/>
          <w:kern w:val="0"/>
          <w:sz w:val="31"/>
          <w:szCs w:val="31"/>
          <w:lang w:bidi="ar"/>
        </w:rPr>
        <w:t>3.</w:t>
      </w:r>
      <w:r>
        <w:rPr>
          <w:rFonts w:hint="eastAsia" w:ascii="仿宋_GB2312" w:hAnsi="宋体" w:eastAsia="仿宋_GB2312" w:cs="宋体"/>
          <w:color w:val="000000"/>
          <w:kern w:val="0"/>
          <w:sz w:val="32"/>
          <w:szCs w:val="32"/>
          <w:lang w:eastAsia="zh-CN"/>
        </w:rPr>
        <w:t>水寨村、龚刘村</w:t>
      </w:r>
      <w:r>
        <w:rPr>
          <w:rFonts w:hint="eastAsia" w:ascii="仿宋_GB2312" w:hAnsi="宋体" w:eastAsia="仿宋_GB2312" w:cs="宋体"/>
          <w:color w:val="000000"/>
          <w:kern w:val="0"/>
          <w:sz w:val="32"/>
          <w:szCs w:val="32"/>
        </w:rPr>
        <w:t>文化建设项目绩效自评综述：根据年初设定的绩效目标，项目自评得分</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分。项目全年预算数</w:t>
      </w:r>
      <w:r>
        <w:rPr>
          <w:rFonts w:hint="eastAsia" w:ascii="仿宋_GB2312" w:hAnsi="??_GB2312" w:eastAsia="仿宋_GB2312" w:cs="??_GB2312"/>
          <w:color w:val="000000"/>
          <w:kern w:val="0"/>
          <w:sz w:val="32"/>
          <w:szCs w:val="32"/>
        </w:rPr>
        <w:t>15</w:t>
      </w:r>
      <w:r>
        <w:rPr>
          <w:rFonts w:hint="eastAsia" w:ascii="仿宋_GB2312" w:hAnsi="宋体" w:eastAsia="仿宋_GB2312" w:cs="宋体"/>
          <w:color w:val="000000"/>
          <w:kern w:val="0"/>
          <w:sz w:val="32"/>
          <w:szCs w:val="32"/>
        </w:rPr>
        <w:t>万元，执行数</w:t>
      </w:r>
      <w:r>
        <w:rPr>
          <w:rFonts w:hint="eastAsia" w:ascii="仿宋_GB2312" w:hAnsi="??_GB2312" w:eastAsia="仿宋_GB2312" w:cs="??_GB2312"/>
          <w:color w:val="000000"/>
          <w:kern w:val="0"/>
          <w:sz w:val="32"/>
          <w:szCs w:val="32"/>
        </w:rPr>
        <w:t>15</w:t>
      </w:r>
      <w:r>
        <w:rPr>
          <w:rFonts w:hint="eastAsia" w:ascii="仿宋_GB2312" w:hAnsi="宋体" w:eastAsia="仿宋_GB2312" w:cs="宋体"/>
          <w:color w:val="000000"/>
          <w:kern w:val="0"/>
          <w:sz w:val="32"/>
          <w:szCs w:val="32"/>
        </w:rPr>
        <w:t>万元，完成预算的</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。主要产出和效果：通过项目实施改善群众的文化活动场所建设，丰富群众的文化生活，提高群众的生活水平。</w:t>
      </w:r>
    </w:p>
    <w:p>
      <w:pPr>
        <w:widowControl/>
        <w:spacing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lang w:eastAsia="zh-CN"/>
        </w:rPr>
        <w:t>各村绿化土地流转</w:t>
      </w:r>
      <w:r>
        <w:rPr>
          <w:rFonts w:hint="eastAsia" w:ascii="仿宋_GB2312" w:hAnsi="宋体" w:eastAsia="仿宋_GB2312" w:cs="宋体"/>
          <w:color w:val="000000"/>
          <w:kern w:val="0"/>
          <w:sz w:val="32"/>
          <w:szCs w:val="32"/>
        </w:rPr>
        <w:t>项目绩效自评综述：根据年初设定的绩效目标，项目自评得分</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分。项目全年预算数</w:t>
      </w:r>
      <w:r>
        <w:rPr>
          <w:rFonts w:hint="eastAsia" w:ascii="仿宋_GB2312" w:hAnsi="??_GB2312" w:eastAsia="仿宋_GB2312" w:cs="??_GB2312"/>
          <w:color w:val="000000"/>
          <w:kern w:val="0"/>
          <w:sz w:val="32"/>
          <w:szCs w:val="32"/>
          <w:lang w:val="en-US" w:eastAsia="zh-CN"/>
        </w:rPr>
        <w:t>88.37</w:t>
      </w:r>
      <w:r>
        <w:rPr>
          <w:rFonts w:hint="eastAsia" w:ascii="仿宋_GB2312" w:hAnsi="宋体" w:eastAsia="仿宋_GB2312" w:cs="宋体"/>
          <w:color w:val="000000"/>
          <w:kern w:val="0"/>
          <w:sz w:val="32"/>
          <w:szCs w:val="32"/>
        </w:rPr>
        <w:t>万元，执行数</w:t>
      </w:r>
      <w:r>
        <w:rPr>
          <w:rFonts w:hint="eastAsia" w:ascii="仿宋_GB2312" w:hAnsi="??_GB2312" w:eastAsia="仿宋_GB2312" w:cs="??_GB2312"/>
          <w:color w:val="000000"/>
          <w:kern w:val="0"/>
          <w:sz w:val="32"/>
          <w:szCs w:val="32"/>
          <w:lang w:val="en-US" w:eastAsia="zh-CN"/>
        </w:rPr>
        <w:t>88.37</w:t>
      </w:r>
      <w:r>
        <w:rPr>
          <w:rFonts w:hint="eastAsia" w:ascii="仿宋_GB2312" w:hAnsi="宋体" w:eastAsia="仿宋_GB2312" w:cs="宋体"/>
          <w:color w:val="000000"/>
          <w:kern w:val="0"/>
          <w:sz w:val="32"/>
          <w:szCs w:val="32"/>
        </w:rPr>
        <w:t>万元，完成预算的</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。主要产出和效果：通过项目实施</w:t>
      </w:r>
      <w:r>
        <w:rPr>
          <w:rFonts w:hint="eastAsia" w:ascii="仿宋_GB2312" w:hAnsi="宋体" w:eastAsia="仿宋_GB2312" w:cs="宋体"/>
          <w:color w:val="000000"/>
          <w:kern w:val="0"/>
          <w:sz w:val="32"/>
          <w:szCs w:val="32"/>
          <w:lang w:eastAsia="zh-CN"/>
        </w:rPr>
        <w:t>美化群众</w:t>
      </w:r>
      <w:r>
        <w:rPr>
          <w:rFonts w:hint="eastAsia" w:ascii="仿宋_GB2312" w:hAnsi="宋体" w:eastAsia="仿宋_GB2312" w:cs="宋体"/>
          <w:color w:val="000000"/>
          <w:kern w:val="0"/>
          <w:sz w:val="32"/>
          <w:szCs w:val="32"/>
        </w:rPr>
        <w:t>居住环境，真正让群众满意。</w:t>
      </w:r>
    </w:p>
    <w:p>
      <w:pPr>
        <w:widowControl/>
        <w:spacing w:line="360" w:lineRule="auto"/>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5.移民安置基础设施项目绩效自评综述：</w:t>
      </w:r>
      <w:r>
        <w:rPr>
          <w:rFonts w:hint="eastAsia" w:ascii="仿宋_GB2312" w:hAnsi="宋体" w:eastAsia="仿宋_GB2312" w:cs="宋体"/>
          <w:color w:val="000000"/>
          <w:kern w:val="0"/>
          <w:sz w:val="32"/>
          <w:szCs w:val="32"/>
        </w:rPr>
        <w:t>根据年初设定的绩效目标，项目自评得分</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分。项目全年预算数</w:t>
      </w:r>
      <w:r>
        <w:rPr>
          <w:rFonts w:hint="eastAsia" w:ascii="仿宋_GB2312" w:hAnsi="??_GB2312" w:eastAsia="仿宋_GB2312" w:cs="??_GB2312"/>
          <w:color w:val="000000"/>
          <w:kern w:val="0"/>
          <w:sz w:val="32"/>
          <w:szCs w:val="32"/>
          <w:lang w:val="en-US" w:eastAsia="zh-CN"/>
        </w:rPr>
        <w:t>10</w:t>
      </w:r>
      <w:r>
        <w:rPr>
          <w:rFonts w:hint="eastAsia" w:ascii="仿宋_GB2312" w:hAnsi="宋体" w:eastAsia="仿宋_GB2312" w:cs="宋体"/>
          <w:color w:val="000000"/>
          <w:kern w:val="0"/>
          <w:sz w:val="32"/>
          <w:szCs w:val="32"/>
        </w:rPr>
        <w:t>万元，执行数</w:t>
      </w:r>
      <w:r>
        <w:rPr>
          <w:rFonts w:hint="eastAsia" w:ascii="仿宋_GB2312" w:hAnsi="??_GB2312" w:eastAsia="仿宋_GB2312" w:cs="??_GB2312"/>
          <w:color w:val="000000"/>
          <w:kern w:val="0"/>
          <w:sz w:val="32"/>
          <w:szCs w:val="32"/>
          <w:lang w:val="en-US" w:eastAsia="zh-CN"/>
        </w:rPr>
        <w:t>10</w:t>
      </w:r>
      <w:r>
        <w:rPr>
          <w:rFonts w:hint="eastAsia" w:ascii="仿宋_GB2312" w:hAnsi="宋体" w:eastAsia="仿宋_GB2312" w:cs="宋体"/>
          <w:color w:val="000000"/>
          <w:kern w:val="0"/>
          <w:sz w:val="32"/>
          <w:szCs w:val="32"/>
        </w:rPr>
        <w:t>万元，完成预算的</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。主要产出和效果：</w:t>
      </w:r>
      <w:r>
        <w:rPr>
          <w:rFonts w:hint="eastAsia" w:ascii="仿宋_GB2312" w:hAnsi="宋体" w:eastAsia="仿宋_GB2312" w:cs="宋体"/>
          <w:color w:val="000000"/>
          <w:kern w:val="0"/>
          <w:sz w:val="32"/>
          <w:szCs w:val="32"/>
          <w:lang w:eastAsia="zh-CN"/>
        </w:rPr>
        <w:t>提高移民居住环境，改善生活条件。</w:t>
      </w:r>
    </w:p>
    <w:p>
      <w:pPr>
        <w:widowControl/>
        <w:spacing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“一事一议”美丽乡村建设支出项目绩效自评综述：根据年初设定的绩效目标，项目自评得分</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分。项目全年预算数</w:t>
      </w:r>
      <w:r>
        <w:rPr>
          <w:rFonts w:hint="eastAsia" w:ascii="仿宋_GB2312" w:hAnsi="??_GB2312" w:eastAsia="仿宋_GB2312" w:cs="??_GB2312"/>
          <w:color w:val="000000"/>
          <w:kern w:val="0"/>
          <w:sz w:val="32"/>
          <w:szCs w:val="32"/>
          <w:lang w:val="en-US" w:eastAsia="zh-CN"/>
        </w:rPr>
        <w:t>468</w:t>
      </w:r>
      <w:r>
        <w:rPr>
          <w:rFonts w:hint="eastAsia" w:ascii="仿宋_GB2312" w:hAnsi="宋体" w:eastAsia="仿宋_GB2312" w:cs="宋体"/>
          <w:color w:val="000000"/>
          <w:kern w:val="0"/>
          <w:sz w:val="32"/>
          <w:szCs w:val="32"/>
        </w:rPr>
        <w:t>万元，执行数</w:t>
      </w:r>
      <w:r>
        <w:rPr>
          <w:rFonts w:hint="eastAsia" w:ascii="仿宋_GB2312" w:hAnsi="??_GB2312" w:eastAsia="仿宋_GB2312" w:cs="??_GB2312"/>
          <w:color w:val="000000"/>
          <w:kern w:val="0"/>
          <w:sz w:val="32"/>
          <w:szCs w:val="32"/>
          <w:lang w:val="en-US" w:eastAsia="zh-CN"/>
        </w:rPr>
        <w:t>468</w:t>
      </w:r>
      <w:r>
        <w:rPr>
          <w:rFonts w:hint="eastAsia" w:ascii="仿宋_GB2312" w:hAnsi="宋体" w:eastAsia="仿宋_GB2312" w:cs="宋体"/>
          <w:color w:val="000000"/>
          <w:kern w:val="0"/>
          <w:sz w:val="32"/>
          <w:szCs w:val="32"/>
        </w:rPr>
        <w:t>万元，完成预算的</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主要产出和效果：通过项目实施改善村办公级环境，村级是组织集中学习及开展活动、服务群众的重要场所，是为村民提供文化、教育、娱乐等公益性服务的必要设施。提升各村基础设施能力建设，亮化美化村级环境，改善农村的生产生活条件，促进本地经济发展。</w:t>
      </w:r>
    </w:p>
    <w:p>
      <w:pPr>
        <w:widowControl/>
        <w:spacing w:line="360" w:lineRule="auto"/>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7.贫困户危房改造项目</w:t>
      </w:r>
      <w:r>
        <w:rPr>
          <w:rFonts w:hint="eastAsia" w:ascii="仿宋_GB2312" w:hAnsi="宋体" w:eastAsia="仿宋_GB2312" w:cs="宋体"/>
          <w:color w:val="000000"/>
          <w:kern w:val="0"/>
          <w:sz w:val="32"/>
          <w:szCs w:val="32"/>
        </w:rPr>
        <w:t>绩效自评综述：根据年初设定的绩效目标，项目自评得分</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分。项目全年预算数</w:t>
      </w:r>
      <w:r>
        <w:rPr>
          <w:rFonts w:hint="eastAsia" w:ascii="仿宋_GB2312" w:hAnsi="宋体" w:eastAsia="仿宋_GB2312" w:cs="宋体"/>
          <w:color w:val="000000"/>
          <w:kern w:val="0"/>
          <w:sz w:val="32"/>
          <w:szCs w:val="32"/>
          <w:lang w:val="en-US" w:eastAsia="zh-CN"/>
        </w:rPr>
        <w:t>9.8</w:t>
      </w:r>
      <w:r>
        <w:rPr>
          <w:rFonts w:hint="eastAsia" w:ascii="仿宋_GB2312" w:hAnsi="宋体" w:eastAsia="仿宋_GB2312" w:cs="宋体"/>
          <w:color w:val="000000"/>
          <w:kern w:val="0"/>
          <w:sz w:val="32"/>
          <w:szCs w:val="32"/>
        </w:rPr>
        <w:t>万元，执行数</w:t>
      </w:r>
      <w:r>
        <w:rPr>
          <w:rFonts w:hint="eastAsia" w:ascii="仿宋_GB2312" w:hAnsi="??_GB2312" w:eastAsia="仿宋_GB2312" w:cs="??_GB2312"/>
          <w:color w:val="000000"/>
          <w:kern w:val="0"/>
          <w:sz w:val="32"/>
          <w:szCs w:val="32"/>
          <w:lang w:val="en-US" w:eastAsia="zh-CN"/>
        </w:rPr>
        <w:t>9.8</w:t>
      </w:r>
      <w:r>
        <w:rPr>
          <w:rFonts w:hint="eastAsia" w:ascii="仿宋_GB2312" w:hAnsi="宋体" w:eastAsia="仿宋_GB2312" w:cs="宋体"/>
          <w:color w:val="000000"/>
          <w:kern w:val="0"/>
          <w:sz w:val="32"/>
          <w:szCs w:val="32"/>
        </w:rPr>
        <w:t>万元，完成预算的</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。主要产出和效果：</w:t>
      </w:r>
      <w:r>
        <w:rPr>
          <w:rFonts w:hint="eastAsia" w:ascii="仿宋_GB2312" w:hAnsi="宋体" w:eastAsia="仿宋_GB2312" w:cs="宋体"/>
          <w:color w:val="000000"/>
          <w:kern w:val="0"/>
          <w:sz w:val="32"/>
          <w:szCs w:val="32"/>
          <w:lang w:eastAsia="zh-CN"/>
        </w:rPr>
        <w:t>保障贫困户居住安全、安心生活。</w:t>
      </w:r>
    </w:p>
    <w:p>
      <w:pPr>
        <w:widowControl/>
        <w:spacing w:line="360" w:lineRule="auto"/>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8.疫情防控项目</w:t>
      </w:r>
      <w:r>
        <w:rPr>
          <w:rFonts w:hint="eastAsia" w:ascii="仿宋_GB2312" w:hAnsi="宋体" w:eastAsia="仿宋_GB2312" w:cs="宋体"/>
          <w:color w:val="000000"/>
          <w:kern w:val="0"/>
          <w:sz w:val="32"/>
          <w:szCs w:val="32"/>
        </w:rPr>
        <w:t>绩效自评综述：根据年初设定的绩效目标，项目自评得分</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分。项目全年预算数</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万元，执行数</w:t>
      </w:r>
      <w:r>
        <w:rPr>
          <w:rFonts w:hint="eastAsia" w:ascii="仿宋_GB2312" w:hAnsi="??_GB2312" w:eastAsia="仿宋_GB2312" w:cs="??_GB2312"/>
          <w:color w:val="000000"/>
          <w:kern w:val="0"/>
          <w:sz w:val="32"/>
          <w:szCs w:val="32"/>
          <w:lang w:val="en-US" w:eastAsia="zh-CN"/>
        </w:rPr>
        <w:t>4</w:t>
      </w:r>
      <w:r>
        <w:rPr>
          <w:rFonts w:hint="eastAsia" w:ascii="仿宋_GB2312" w:hAnsi="宋体" w:eastAsia="仿宋_GB2312" w:cs="宋体"/>
          <w:color w:val="000000"/>
          <w:kern w:val="0"/>
          <w:sz w:val="32"/>
          <w:szCs w:val="32"/>
        </w:rPr>
        <w:t>万元，完成预算的</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。主要产出和效果：</w:t>
      </w:r>
      <w:r>
        <w:rPr>
          <w:rFonts w:hint="eastAsia" w:ascii="仿宋_GB2312" w:hAnsi="宋体" w:eastAsia="仿宋_GB2312" w:cs="宋体"/>
          <w:color w:val="000000"/>
          <w:kern w:val="0"/>
          <w:sz w:val="32"/>
          <w:szCs w:val="32"/>
          <w:lang w:eastAsia="zh-CN"/>
        </w:rPr>
        <w:t>加强疫情防控工作，保障群众安全生产生活。</w:t>
      </w:r>
    </w:p>
    <w:p>
      <w:pPr>
        <w:widowControl/>
        <w:spacing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安乐购办公设备项目绩效自评综述：根据年初设定的绩效目标，项目自评得分</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分。项目全年预算数</w:t>
      </w:r>
      <w:r>
        <w:rPr>
          <w:rFonts w:hint="eastAsia" w:ascii="仿宋_GB2312" w:hAnsi="??_GB2312" w:eastAsia="仿宋_GB2312" w:cs="??_GB2312"/>
          <w:color w:val="000000"/>
          <w:kern w:val="0"/>
          <w:sz w:val="32"/>
          <w:szCs w:val="32"/>
        </w:rPr>
        <w:t>0.</w:t>
      </w:r>
      <w:r>
        <w:rPr>
          <w:rFonts w:hint="eastAsia" w:ascii="仿宋_GB2312" w:hAnsi="??_GB2312" w:eastAsia="仿宋_GB2312" w:cs="??_GB2312"/>
          <w:color w:val="000000"/>
          <w:kern w:val="0"/>
          <w:sz w:val="32"/>
          <w:szCs w:val="32"/>
          <w:lang w:val="en-US" w:eastAsia="zh-CN"/>
        </w:rPr>
        <w:t>96</w:t>
      </w:r>
      <w:r>
        <w:rPr>
          <w:rFonts w:hint="eastAsia" w:ascii="仿宋_GB2312" w:hAnsi="宋体" w:eastAsia="仿宋_GB2312" w:cs="宋体"/>
          <w:color w:val="000000"/>
          <w:kern w:val="0"/>
          <w:sz w:val="32"/>
          <w:szCs w:val="32"/>
        </w:rPr>
        <w:t>万元，执行数</w:t>
      </w:r>
      <w:r>
        <w:rPr>
          <w:rFonts w:hint="eastAsia" w:ascii="仿宋_GB2312" w:hAnsi="??_GB2312" w:eastAsia="仿宋_GB2312" w:cs="??_GB2312"/>
          <w:color w:val="000000"/>
          <w:kern w:val="0"/>
          <w:sz w:val="32"/>
          <w:szCs w:val="32"/>
        </w:rPr>
        <w:t>0.</w:t>
      </w:r>
      <w:r>
        <w:rPr>
          <w:rFonts w:hint="eastAsia" w:ascii="仿宋_GB2312" w:hAnsi="??_GB2312" w:eastAsia="仿宋_GB2312" w:cs="??_GB2312"/>
          <w:color w:val="000000"/>
          <w:kern w:val="0"/>
          <w:sz w:val="32"/>
          <w:szCs w:val="32"/>
          <w:lang w:val="en-US" w:eastAsia="zh-CN"/>
        </w:rPr>
        <w:t>96</w:t>
      </w:r>
      <w:r>
        <w:rPr>
          <w:rFonts w:hint="eastAsia" w:ascii="仿宋_GB2312" w:hAnsi="宋体" w:eastAsia="仿宋_GB2312" w:cs="宋体"/>
          <w:color w:val="000000"/>
          <w:kern w:val="0"/>
          <w:sz w:val="32"/>
          <w:szCs w:val="32"/>
        </w:rPr>
        <w:t>万元，完成预算的</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。主要产出和效果：通过项目实施改善办公条件及环境，提高办事效率，方便群众。</w:t>
      </w:r>
    </w:p>
    <w:p>
      <w:pPr>
        <w:widowControl/>
        <w:numPr>
          <w:ilvl w:val="0"/>
          <w:numId w:val="1"/>
        </w:numPr>
        <w:spacing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维修维护费</w:t>
      </w:r>
      <w:r>
        <w:rPr>
          <w:rFonts w:hint="eastAsia" w:ascii="仿宋_GB2312" w:hAnsi="宋体" w:eastAsia="仿宋_GB2312" w:cs="宋体"/>
          <w:color w:val="000000"/>
          <w:kern w:val="0"/>
          <w:sz w:val="32"/>
          <w:szCs w:val="32"/>
        </w:rPr>
        <w:t>项目绩效自评综述：根据年初设定的绩效目标，项目自评得分</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分。项目全年预算数</w:t>
      </w:r>
      <w:r>
        <w:rPr>
          <w:rFonts w:hint="eastAsia" w:ascii="仿宋_GB2312" w:hAnsi="??_GB2312" w:eastAsia="仿宋_GB2312" w:cs="??_GB2312"/>
          <w:color w:val="000000"/>
          <w:kern w:val="0"/>
          <w:sz w:val="32"/>
          <w:szCs w:val="32"/>
          <w:lang w:val="en-US" w:eastAsia="zh-CN"/>
        </w:rPr>
        <w:t>4.39</w:t>
      </w:r>
      <w:r>
        <w:rPr>
          <w:rFonts w:hint="eastAsia" w:ascii="仿宋_GB2312" w:hAnsi="宋体" w:eastAsia="仿宋_GB2312" w:cs="宋体"/>
          <w:color w:val="000000"/>
          <w:kern w:val="0"/>
          <w:sz w:val="32"/>
          <w:szCs w:val="32"/>
        </w:rPr>
        <w:t>万元，执行数</w:t>
      </w:r>
      <w:r>
        <w:rPr>
          <w:rFonts w:hint="eastAsia" w:ascii="仿宋_GB2312" w:hAnsi="??_GB2312" w:eastAsia="仿宋_GB2312" w:cs="??_GB2312"/>
          <w:color w:val="000000"/>
          <w:kern w:val="0"/>
          <w:sz w:val="32"/>
          <w:szCs w:val="32"/>
          <w:lang w:val="en-US" w:eastAsia="zh-CN"/>
        </w:rPr>
        <w:t>4.39</w:t>
      </w:r>
      <w:r>
        <w:rPr>
          <w:rFonts w:hint="eastAsia" w:ascii="仿宋_GB2312" w:hAnsi="宋体" w:eastAsia="仿宋_GB2312" w:cs="宋体"/>
          <w:color w:val="000000"/>
          <w:kern w:val="0"/>
          <w:sz w:val="32"/>
          <w:szCs w:val="32"/>
        </w:rPr>
        <w:t>万元，完成预算的</w:t>
      </w:r>
      <w:r>
        <w:rPr>
          <w:rFonts w:hint="eastAsia" w:ascii="仿宋_GB2312" w:hAnsi="??_GB2312" w:eastAsia="仿宋_GB2312" w:cs="??_GB2312"/>
          <w:color w:val="000000"/>
          <w:kern w:val="0"/>
          <w:sz w:val="32"/>
          <w:szCs w:val="32"/>
        </w:rPr>
        <w:t>100%</w:t>
      </w:r>
      <w:r>
        <w:rPr>
          <w:rFonts w:hint="eastAsia" w:ascii="仿宋_GB2312" w:hAnsi="宋体" w:eastAsia="仿宋_GB2312" w:cs="宋体"/>
          <w:color w:val="000000"/>
          <w:kern w:val="0"/>
          <w:sz w:val="32"/>
          <w:szCs w:val="32"/>
        </w:rPr>
        <w:t>。主要产出和效果：</w:t>
      </w:r>
      <w:r>
        <w:rPr>
          <w:rFonts w:hint="eastAsia" w:ascii="仿宋_GB2312" w:hAnsi="宋体" w:eastAsia="仿宋_GB2312" w:cs="宋体"/>
          <w:color w:val="000000"/>
          <w:kern w:val="0"/>
          <w:sz w:val="32"/>
          <w:szCs w:val="32"/>
          <w:lang w:eastAsia="zh-CN"/>
        </w:rPr>
        <w:t>办公楼楼顶防水处理，</w:t>
      </w:r>
      <w:r>
        <w:rPr>
          <w:rFonts w:hint="eastAsia" w:ascii="仿宋_GB2312" w:hAnsi="宋体" w:eastAsia="仿宋_GB2312" w:cs="宋体"/>
          <w:color w:val="000000"/>
          <w:kern w:val="0"/>
          <w:sz w:val="32"/>
          <w:szCs w:val="32"/>
        </w:rPr>
        <w:t>改善</w:t>
      </w:r>
      <w:r>
        <w:rPr>
          <w:rFonts w:hint="eastAsia" w:ascii="仿宋_GB2312" w:hAnsi="宋体" w:eastAsia="仿宋_GB2312" w:cs="宋体"/>
          <w:color w:val="000000"/>
          <w:kern w:val="0"/>
          <w:sz w:val="32"/>
          <w:szCs w:val="32"/>
          <w:lang w:eastAsia="zh-CN"/>
        </w:rPr>
        <w:t>办公条件。</w:t>
      </w:r>
    </w:p>
    <w:p>
      <w:pPr>
        <w:widowControl/>
        <w:spacing w:line="540" w:lineRule="exact"/>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w:t>
      </w:r>
      <w:r>
        <w:rPr>
          <w:rFonts w:ascii="楷体_GB2312" w:hAnsi="宋体" w:eastAsia="楷体_GB2312" w:cs="楷体_GB2312"/>
          <w:b/>
          <w:color w:val="000000"/>
          <w:kern w:val="0"/>
          <w:sz w:val="32"/>
          <w:szCs w:val="32"/>
          <w:lang w:bidi="ar"/>
        </w:rPr>
        <w:t>部门决算</w:t>
      </w:r>
      <w:r>
        <w:rPr>
          <w:rFonts w:hint="eastAsia" w:ascii="楷体_GB2312" w:hAnsi="宋体" w:eastAsia="楷体_GB2312" w:cs="楷体_GB2312"/>
          <w:b/>
          <w:color w:val="000000"/>
          <w:kern w:val="0"/>
          <w:sz w:val="32"/>
          <w:szCs w:val="32"/>
          <w:lang w:bidi="ar"/>
        </w:rPr>
        <w:t>整体</w:t>
      </w:r>
      <w:r>
        <w:rPr>
          <w:rFonts w:ascii="楷体_GB2312" w:hAnsi="宋体" w:eastAsia="楷体_GB2312" w:cs="楷体_GB2312"/>
          <w:b/>
          <w:color w:val="000000"/>
          <w:kern w:val="0"/>
          <w:sz w:val="32"/>
          <w:szCs w:val="32"/>
          <w:lang w:bidi="ar"/>
        </w:rPr>
        <w:t>绩效自评结果</w:t>
      </w:r>
    </w:p>
    <w:p>
      <w:pPr>
        <w:widowControl/>
        <w:spacing w:line="360" w:lineRule="auto"/>
        <w:ind w:firstLine="640" w:firstLineChars="200"/>
        <w:jc w:val="left"/>
        <w:rPr>
          <w:rFonts w:ascii="仿宋_GB2312" w:hAnsi="宋体" w:eastAsia="仿宋_GB2312" w:cs="??_GB2312"/>
          <w:color w:val="000000"/>
          <w:kern w:val="0"/>
          <w:sz w:val="32"/>
          <w:szCs w:val="32"/>
        </w:rPr>
      </w:pPr>
      <w:r>
        <w:rPr>
          <w:rFonts w:hint="eastAsia" w:ascii="仿宋_GB2312" w:hAnsi="宋体" w:eastAsia="仿宋_GB2312" w:cs="??_GB2312"/>
          <w:color w:val="000000"/>
          <w:kern w:val="0"/>
          <w:sz w:val="32"/>
          <w:szCs w:val="32"/>
        </w:rPr>
        <w:t>与年初预算绩效目标表对应，对本部门全年决算整体绩效自评，包含本部门基本和项目决算共计</w:t>
      </w:r>
      <w:r>
        <w:rPr>
          <w:rFonts w:hint="eastAsia" w:ascii="仿宋_GB2312" w:hAnsi="??_GB2312" w:eastAsia="仿宋_GB2312" w:cs="??_GB2312"/>
          <w:sz w:val="32"/>
          <w:szCs w:val="32"/>
          <w:lang w:val="en-US" w:eastAsia="zh-CN"/>
        </w:rPr>
        <w:t>3224.62</w:t>
      </w:r>
      <w:r>
        <w:rPr>
          <w:rFonts w:hint="eastAsia" w:ascii="仿宋_GB2312" w:hAnsi="宋体" w:eastAsia="仿宋_GB2312" w:cs="??_GB2312"/>
          <w:color w:val="000000"/>
          <w:kern w:val="0"/>
          <w:sz w:val="32"/>
          <w:szCs w:val="32"/>
        </w:rPr>
        <w:t>万元。</w:t>
      </w:r>
    </w:p>
    <w:p>
      <w:pPr>
        <w:spacing w:line="540" w:lineRule="exact"/>
        <w:rPr>
          <w:rFonts w:ascii="黑体" w:hAnsi="黑体" w:eastAsia="黑体"/>
          <w:sz w:val="32"/>
          <w:szCs w:val="32"/>
        </w:rPr>
      </w:pPr>
      <w:r>
        <w:rPr>
          <w:rFonts w:hint="eastAsia" w:ascii="黑体" w:hAnsi="黑体" w:eastAsia="黑体"/>
          <w:color w:val="000000"/>
          <w:kern w:val="0"/>
          <w:sz w:val="32"/>
          <w:szCs w:val="32"/>
          <w:lang w:bidi="ar"/>
        </w:rPr>
        <w:t>十一、其他重要事项说明</w:t>
      </w:r>
    </w:p>
    <w:p>
      <w:pPr>
        <w:widowControl/>
        <w:spacing w:line="540" w:lineRule="exact"/>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spacing w:line="540" w:lineRule="exact"/>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2020年机关运行经费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144.45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330.61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229</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186.16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人员、车改补助、取暖费等支出增加</w:t>
      </w:r>
      <w:r>
        <w:rPr>
          <w:rFonts w:hint="eastAsia" w:ascii="仿宋_GB2312" w:hAnsi="宋体" w:eastAsia="仿宋_GB2312" w:cs="仿宋_GB2312"/>
          <w:color w:val="000000"/>
          <w:kern w:val="0"/>
          <w:sz w:val="32"/>
          <w:szCs w:val="32"/>
          <w:lang w:bidi="ar"/>
        </w:rPr>
        <w:t>。</w:t>
      </w:r>
    </w:p>
    <w:p>
      <w:pPr>
        <w:widowControl/>
        <w:spacing w:line="540" w:lineRule="exact"/>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（二）政府采购支出情况说明。</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年本部门政府采购支出总额共</w:t>
      </w:r>
      <w:r>
        <w:rPr>
          <w:rFonts w:hint="eastAsia" w:ascii="仿宋_GB2312" w:hAnsi="仿宋_GB2312" w:eastAsia="仿宋_GB2312" w:cs="仿宋_GB2312"/>
          <w:sz w:val="32"/>
          <w:szCs w:val="32"/>
          <w:lang w:val="en-US" w:eastAsia="zh-CN"/>
        </w:rPr>
        <w:t>99.98</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lang w:bidi="ar"/>
        </w:rPr>
        <w:t>授予中小企业合同金额</w:t>
      </w:r>
      <w:r>
        <w:rPr>
          <w:rFonts w:hint="eastAsia" w:ascii="仿宋_GB2312" w:hAnsi="宋体" w:eastAsia="仿宋_GB2312" w:cs="仿宋_GB2312"/>
          <w:color w:val="000000"/>
          <w:kern w:val="0"/>
          <w:sz w:val="32"/>
          <w:szCs w:val="32"/>
          <w:lang w:val="en-US" w:eastAsia="zh-CN" w:bidi="ar"/>
        </w:rPr>
        <w:t>99.98</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，占政府采购支出总额的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%，其中：授予小微企业合同金额</w:t>
      </w:r>
      <w:r>
        <w:rPr>
          <w:rFonts w:hint="eastAsia" w:ascii="仿宋_GB2312" w:hAnsi="宋体" w:eastAsia="仿宋_GB2312" w:cs="仿宋_GB2312"/>
          <w:color w:val="000000"/>
          <w:kern w:val="0"/>
          <w:sz w:val="32"/>
          <w:szCs w:val="32"/>
          <w:lang w:val="en-US" w:eastAsia="zh-CN" w:bidi="ar"/>
        </w:rPr>
        <w:t>99.98</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，占政府采购支出总额的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spacing w:line="540" w:lineRule="exact"/>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spacing w:line="540" w:lineRule="exact"/>
        <w:ind w:firstLine="640"/>
        <w:rPr>
          <w:rFonts w:ascii="黑体" w:hAnsi="宋体" w:eastAsia="黑体"/>
          <w:color w:val="000000"/>
          <w:kern w:val="0"/>
          <w:sz w:val="32"/>
          <w:szCs w:val="32"/>
          <w:lang w:bidi="ar"/>
        </w:rPr>
      </w:pPr>
      <w:r>
        <w:rPr>
          <w:rFonts w:hint="eastAsia" w:ascii="仿宋_GB2312" w:hAnsi="仿宋_GB2312" w:eastAsia="仿宋_GB2312" w:cs="仿宋_GB2312"/>
          <w:sz w:val="32"/>
          <w:szCs w:val="32"/>
        </w:rPr>
        <w:t>示例：截至20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bookmarkStart w:id="0" w:name="_GoBack"/>
      <w:bookmarkEnd w:id="0"/>
    </w:p>
    <w:p>
      <w:pPr>
        <w:spacing w:line="540" w:lineRule="exact"/>
        <w:jc w:val="center"/>
        <w:rPr>
          <w:sz w:val="44"/>
          <w:szCs w:val="44"/>
        </w:rPr>
      </w:pPr>
      <w:r>
        <w:rPr>
          <w:rFonts w:hint="eastAsia" w:ascii="黑体" w:hAnsi="宋体" w:eastAsia="黑体"/>
          <w:color w:val="000000"/>
          <w:kern w:val="0"/>
          <w:sz w:val="44"/>
          <w:szCs w:val="44"/>
          <w:lang w:bidi="ar"/>
        </w:rPr>
        <w:t>第三部分 专业名词解释</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r>
        <w:rPr>
          <w:rFonts w:ascii="黑体" w:hAnsi="宋体" w:eastAsia="黑体"/>
          <w:color w:val="000000"/>
          <w:kern w:val="0"/>
          <w:sz w:val="44"/>
          <w:szCs w:val="44"/>
          <w:lang w:bidi="ar"/>
        </w:rPr>
        <w:t>第</w:t>
      </w:r>
      <w:r>
        <w:rPr>
          <w:rFonts w:hint="eastAsia" w:ascii="黑体" w:hAnsi="宋体" w:eastAsia="黑体"/>
          <w:color w:val="000000"/>
          <w:kern w:val="0"/>
          <w:sz w:val="44"/>
          <w:szCs w:val="44"/>
          <w:lang w:bidi="ar"/>
        </w:rPr>
        <w:t>四</w:t>
      </w:r>
      <w:r>
        <w:rPr>
          <w:rFonts w:ascii="黑体" w:hAnsi="宋体" w:eastAsia="黑体"/>
          <w:color w:val="000000"/>
          <w:kern w:val="0"/>
          <w:sz w:val="44"/>
          <w:szCs w:val="44"/>
          <w:lang w:bidi="ar"/>
        </w:rPr>
        <w:t>部分 2020年度部门决算</w:t>
      </w:r>
      <w:r>
        <w:rPr>
          <w:rFonts w:hint="eastAsia" w:ascii="黑体" w:hAnsi="宋体" w:eastAsia="黑体"/>
          <w:color w:val="000000"/>
          <w:kern w:val="0"/>
          <w:sz w:val="44"/>
          <w:szCs w:val="44"/>
          <w:lang w:bidi="ar"/>
        </w:rPr>
        <w:t>公开</w:t>
      </w:r>
      <w:r>
        <w:rPr>
          <w:rFonts w:ascii="黑体" w:hAnsi="宋体" w:eastAsia="黑体"/>
          <w:color w:val="000000"/>
          <w:kern w:val="0"/>
          <w:sz w:val="44"/>
          <w:szCs w:val="44"/>
          <w:lang w:bidi="ar"/>
        </w:rPr>
        <w:t>表</w:t>
      </w:r>
    </w:p>
    <w:p>
      <w:pPr>
        <w:widowControl/>
        <w:jc w:val="center"/>
        <w:rPr>
          <w:rFonts w:ascii="黑体" w:hAnsi="宋体" w:eastAsia="黑体"/>
          <w:color w:val="000000"/>
          <w:kern w:val="0"/>
          <w:sz w:val="44"/>
          <w:szCs w:val="44"/>
          <w:lang w:bidi="ar"/>
        </w:rPr>
      </w:pPr>
    </w:p>
    <w:p>
      <w:pPr>
        <w:widowControl/>
        <w:rPr>
          <w:sz w:val="44"/>
          <w:szCs w:val="44"/>
        </w:rPr>
      </w:pPr>
    </w:p>
    <w:tbl>
      <w:tblPr>
        <w:tblStyle w:val="7"/>
        <w:tblpPr w:leftFromText="180" w:rightFromText="180" w:vertAnchor="text" w:horzAnchor="page" w:tblpX="1407" w:tblpY="805"/>
        <w:tblOverlap w:val="never"/>
        <w:tblW w:w="9029" w:type="dxa"/>
        <w:tblInd w:w="0" w:type="dxa"/>
        <w:tblLayout w:type="fixed"/>
        <w:tblCellMar>
          <w:top w:w="0" w:type="dxa"/>
          <w:left w:w="0" w:type="dxa"/>
          <w:bottom w:w="0" w:type="dxa"/>
          <w:right w:w="0" w:type="dxa"/>
        </w:tblCellMar>
      </w:tblPr>
      <w:tblGrid>
        <w:gridCol w:w="735"/>
        <w:gridCol w:w="4809"/>
        <w:gridCol w:w="708"/>
        <w:gridCol w:w="2777"/>
      </w:tblGrid>
      <w:tr>
        <w:tblPrEx>
          <w:tblLayout w:type="fixed"/>
          <w:tblCellMar>
            <w:top w:w="0" w:type="dxa"/>
            <w:left w:w="0" w:type="dxa"/>
            <w:bottom w:w="0" w:type="dxa"/>
            <w:right w:w="0" w:type="dxa"/>
          </w:tblCellMar>
        </w:tblPrEx>
        <w:trPr>
          <w:trHeight w:val="66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Layout w:type="fixed"/>
          <w:tblCellMar>
            <w:top w:w="0" w:type="dxa"/>
            <w:left w:w="0" w:type="dxa"/>
            <w:bottom w:w="0" w:type="dxa"/>
            <w:right w:w="0" w:type="dxa"/>
          </w:tblCellMar>
        </w:tblPrEx>
        <w:trPr>
          <w:trHeight w:val="532"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512"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419"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512"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670"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68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629"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8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7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69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政府性基金预算财政拨款收入支出决算表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68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表9</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国有资本经营预算财政拨款支出决算表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69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表10</w:t>
            </w:r>
          </w:p>
        </w:tc>
        <w:tc>
          <w:tcPr>
            <w:tcW w:w="4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部门项目绩效目标自评表</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35" w:type="dxa"/>
            <w:vAlign w:val="center"/>
          </w:tcPr>
          <w:p>
            <w:pPr>
              <w:widowControl/>
              <w:jc w:val="center"/>
              <w:textAlignment w:val="center"/>
              <w:rPr>
                <w:rFonts w:ascii="仿宋_GB2312" w:hAnsi="仿宋_GB2312" w:eastAsia="仿宋_GB2312" w:cs="仿宋_GB2312"/>
                <w:color w:val="000000"/>
                <w:kern w:val="0"/>
                <w:sz w:val="28"/>
                <w:szCs w:val="32"/>
                <w:lang w:bidi="ar"/>
              </w:rPr>
            </w:pPr>
            <w:r>
              <w:rPr>
                <w:rFonts w:ascii="宋体" w:hAnsi="宋体" w:cs="宋体"/>
                <w:color w:val="000000"/>
                <w:kern w:val="0"/>
                <w:sz w:val="24"/>
                <w:lang w:bidi="ar"/>
              </w:rPr>
              <w:t>表</w:t>
            </w:r>
            <w:r>
              <w:rPr>
                <w:rFonts w:hint="eastAsia" w:ascii="宋体" w:hAnsi="宋体" w:cs="宋体"/>
                <w:color w:val="000000"/>
                <w:kern w:val="0"/>
                <w:sz w:val="24"/>
                <w:lang w:bidi="ar"/>
              </w:rPr>
              <w:t>11</w:t>
            </w:r>
          </w:p>
        </w:tc>
        <w:tc>
          <w:tcPr>
            <w:tcW w:w="4809" w:type="dxa"/>
            <w:vAlign w:val="center"/>
          </w:tcPr>
          <w:p>
            <w:pPr>
              <w:rPr>
                <w:rFonts w:ascii="仿宋_GB2312" w:hAnsi="仿宋_GB2312" w:eastAsia="仿宋_GB2312" w:cs="仿宋_GB2312"/>
                <w:color w:val="000000"/>
                <w:kern w:val="0"/>
                <w:sz w:val="32"/>
                <w:szCs w:val="32"/>
                <w:lang w:bidi="ar"/>
              </w:rPr>
            </w:pPr>
            <w:r>
              <w:rPr>
                <w:rFonts w:hint="eastAsia" w:ascii="宋体" w:hAnsi="宋体" w:cs="宋体"/>
                <w:color w:val="000000"/>
                <w:kern w:val="0"/>
                <w:sz w:val="24"/>
                <w:lang w:bidi="ar"/>
              </w:rPr>
              <w:t>部门整体绩效目标自评表</w:t>
            </w:r>
          </w:p>
        </w:tc>
        <w:tc>
          <w:tcPr>
            <w:tcW w:w="708" w:type="dxa"/>
          </w:tcPr>
          <w:p>
            <w:pPr>
              <w:jc w:val="left"/>
              <w:rPr>
                <w:rFonts w:ascii="仿宋_GB2312" w:hAnsi="仿宋_GB2312" w:eastAsia="仿宋_GB2312" w:cs="仿宋_GB2312"/>
                <w:color w:val="000000"/>
                <w:kern w:val="0"/>
                <w:sz w:val="32"/>
                <w:szCs w:val="32"/>
                <w:lang w:bidi="ar"/>
              </w:rPr>
            </w:pPr>
          </w:p>
        </w:tc>
        <w:tc>
          <w:tcPr>
            <w:tcW w:w="2777" w:type="dxa"/>
          </w:tcPr>
          <w:p>
            <w:pPr>
              <w:jc w:val="left"/>
              <w:rPr>
                <w:rFonts w:ascii="仿宋_GB2312" w:hAnsi="仿宋_GB2312" w:eastAsia="仿宋_GB2312" w:cs="仿宋_GB2312"/>
                <w:color w:val="000000"/>
                <w:kern w:val="0"/>
                <w:sz w:val="32"/>
                <w:szCs w:val="32"/>
                <w:lang w:bidi="ar"/>
              </w:rPr>
            </w:pPr>
          </w:p>
        </w:tc>
      </w:tr>
    </w:tbl>
    <w:p>
      <w:pPr>
        <w:jc w:val="left"/>
        <w:rPr>
          <w:rFonts w:ascii="仿宋_GB2312" w:hAnsi="仿宋_GB2312" w:eastAsia="仿宋_GB2312" w:cs="仿宋_GB2312"/>
          <w:color w:val="000000"/>
          <w:kern w:val="0"/>
          <w:sz w:val="32"/>
          <w:szCs w:val="32"/>
          <w:lang w:bidi="ar"/>
        </w:rPr>
      </w:pPr>
    </w:p>
    <w:p>
      <w:pPr>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部门决算公开表1--表9及绩效自评表10、表11电子表附后。公开表在批复表的基础上将表名中批复或PF修改为公开或GK。</w:t>
      </w:r>
    </w:p>
    <w:p>
      <w:pPr>
        <w:jc w:val="left"/>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-485140</wp:posOffset>
              </wp:positionV>
              <wp:extent cx="461645" cy="6311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1645" cy="631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8.2pt;height:49.7pt;width:36.35pt;mso-position-horizontal:outside;mso-position-horizontal-relative:margin;z-index:251658240;mso-width-relative:page;mso-height-relative:page;" filled="f" stroked="f" coordsize="21600,21600" o:gfxdata="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rPDSPVAAAABgEAAA8AAAAAAAAAAQAg&#10;AAAAIgAAAGRycy9kb3ducmV2LnhtbFBLAQIUABQAAAAIAIdO4kBjBxy9EQIAAAcEAAAOAAAAAAAA&#10;AAEAIAAAACQBAABkcnMvZTJvRG9jLnhtbFBLBQYAAAAABgAGAFkBAACnBQAAAAA=&#10;">
              <v:fill on="f" focussize="0,0"/>
              <v:stroke on="f" weight="0.5pt"/>
              <v:imagedata o:title=""/>
              <o:lock v:ext="edit" aspectratio="f"/>
              <v:textbox inset="0mm,0mm,0mm,0mm">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DDF58"/>
    <w:multiLevelType w:val="singleLevel"/>
    <w:tmpl w:val="612DDF58"/>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409D7"/>
    <w:rsid w:val="00025A39"/>
    <w:rsid w:val="00063EEE"/>
    <w:rsid w:val="00075109"/>
    <w:rsid w:val="000B6922"/>
    <w:rsid w:val="000E2718"/>
    <w:rsid w:val="0013041E"/>
    <w:rsid w:val="001C3A1E"/>
    <w:rsid w:val="0027560B"/>
    <w:rsid w:val="00294BB5"/>
    <w:rsid w:val="003166F7"/>
    <w:rsid w:val="00321299"/>
    <w:rsid w:val="00324CA6"/>
    <w:rsid w:val="00371A36"/>
    <w:rsid w:val="003765AB"/>
    <w:rsid w:val="003E5CDF"/>
    <w:rsid w:val="003E6F37"/>
    <w:rsid w:val="0058773C"/>
    <w:rsid w:val="00594057"/>
    <w:rsid w:val="005A45A9"/>
    <w:rsid w:val="0064214D"/>
    <w:rsid w:val="006508F6"/>
    <w:rsid w:val="00650EED"/>
    <w:rsid w:val="00685D2C"/>
    <w:rsid w:val="007A68ED"/>
    <w:rsid w:val="007E69C7"/>
    <w:rsid w:val="008A7E43"/>
    <w:rsid w:val="008C5F3D"/>
    <w:rsid w:val="008E1065"/>
    <w:rsid w:val="0093111E"/>
    <w:rsid w:val="009379F9"/>
    <w:rsid w:val="00974615"/>
    <w:rsid w:val="00A3054D"/>
    <w:rsid w:val="00A67989"/>
    <w:rsid w:val="00AA182E"/>
    <w:rsid w:val="00B1152C"/>
    <w:rsid w:val="00B376CE"/>
    <w:rsid w:val="00BC469A"/>
    <w:rsid w:val="00BE6B71"/>
    <w:rsid w:val="00BF3B78"/>
    <w:rsid w:val="00C23EEE"/>
    <w:rsid w:val="00C874A8"/>
    <w:rsid w:val="00CA3AED"/>
    <w:rsid w:val="00CB1A62"/>
    <w:rsid w:val="00CE6517"/>
    <w:rsid w:val="00D033FD"/>
    <w:rsid w:val="00D1096D"/>
    <w:rsid w:val="00D12082"/>
    <w:rsid w:val="00D17A92"/>
    <w:rsid w:val="00D4329A"/>
    <w:rsid w:val="00DB1B6D"/>
    <w:rsid w:val="00DB355C"/>
    <w:rsid w:val="00E523B4"/>
    <w:rsid w:val="00EB1B04"/>
    <w:rsid w:val="00F3168C"/>
    <w:rsid w:val="00F32DB1"/>
    <w:rsid w:val="00F7769E"/>
    <w:rsid w:val="00FB3002"/>
    <w:rsid w:val="01255151"/>
    <w:rsid w:val="032A1971"/>
    <w:rsid w:val="03D8293A"/>
    <w:rsid w:val="05866892"/>
    <w:rsid w:val="08E51260"/>
    <w:rsid w:val="09847334"/>
    <w:rsid w:val="09AB7E5E"/>
    <w:rsid w:val="0A567314"/>
    <w:rsid w:val="0A75548E"/>
    <w:rsid w:val="0B3230F5"/>
    <w:rsid w:val="11B63FF2"/>
    <w:rsid w:val="13F65C57"/>
    <w:rsid w:val="19141B63"/>
    <w:rsid w:val="1D1734DE"/>
    <w:rsid w:val="1DDB7B63"/>
    <w:rsid w:val="1EBC4444"/>
    <w:rsid w:val="1F29286B"/>
    <w:rsid w:val="21655D2F"/>
    <w:rsid w:val="250E6398"/>
    <w:rsid w:val="257C09EB"/>
    <w:rsid w:val="284409D7"/>
    <w:rsid w:val="29675564"/>
    <w:rsid w:val="2B346044"/>
    <w:rsid w:val="2D1C0132"/>
    <w:rsid w:val="2F91769C"/>
    <w:rsid w:val="30D37503"/>
    <w:rsid w:val="31EA2719"/>
    <w:rsid w:val="34C621B1"/>
    <w:rsid w:val="3530374A"/>
    <w:rsid w:val="35DA47EE"/>
    <w:rsid w:val="3B255DD2"/>
    <w:rsid w:val="3F900F14"/>
    <w:rsid w:val="42393A1C"/>
    <w:rsid w:val="427A21B7"/>
    <w:rsid w:val="45DA7400"/>
    <w:rsid w:val="467E6DEB"/>
    <w:rsid w:val="49AC1AC9"/>
    <w:rsid w:val="4A6F09E7"/>
    <w:rsid w:val="4EAE3451"/>
    <w:rsid w:val="4F1C6214"/>
    <w:rsid w:val="517C69BA"/>
    <w:rsid w:val="52594265"/>
    <w:rsid w:val="53F06D46"/>
    <w:rsid w:val="54B73155"/>
    <w:rsid w:val="56363E10"/>
    <w:rsid w:val="57913ED0"/>
    <w:rsid w:val="5A655F9F"/>
    <w:rsid w:val="5D7D46AB"/>
    <w:rsid w:val="5E1252F0"/>
    <w:rsid w:val="614145B1"/>
    <w:rsid w:val="63BE5063"/>
    <w:rsid w:val="64057653"/>
    <w:rsid w:val="65E878DC"/>
    <w:rsid w:val="6726174B"/>
    <w:rsid w:val="6F056E31"/>
    <w:rsid w:val="7026380B"/>
    <w:rsid w:val="705A2E92"/>
    <w:rsid w:val="72E71BD4"/>
    <w:rsid w:val="764016B2"/>
    <w:rsid w:val="76C01BA9"/>
    <w:rsid w:val="76E11860"/>
    <w:rsid w:val="7CCF0D26"/>
    <w:rsid w:val="7FCC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9"/>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6"/>
    <w:link w:val="3"/>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57142857143"/>
          <c:y val="0.0562248995983936"/>
          <c:w val="0.493261455525606"/>
          <c:h val="0.799196787148594"/>
        </c:manualLayout>
      </c:layout>
      <c:barChart>
        <c:barDir val="col"/>
        <c:grouping val="clustered"/>
        <c:varyColors val="0"/>
        <c:ser>
          <c:idx val="0"/>
          <c:order val="0"/>
          <c:tx>
            <c:strRef>
              <c:f>Sheet1!$A$2</c:f>
              <c:strCache>
                <c:ptCount val="1"/>
                <c:pt idx="0">
                  <c:v>收入（万元）</c:v>
                </c:pt>
              </c:strCache>
            </c:strRef>
          </c:tx>
          <c:spPr>
            <a:solidFill>
              <a:srgbClr val="9999FF"/>
            </a:solidFill>
            <a:ln w="11771">
              <a:solidFill>
                <a:srgbClr val="000000"/>
              </a:solidFill>
              <a:prstDash val="solid"/>
            </a:ln>
          </c:spPr>
          <c:invertIfNegative val="0"/>
          <c:dLbls>
            <c:delete val="1"/>
          </c:dLbls>
          <c:cat>
            <c:strRef>
              <c:f>Sheet1!$B$1:$C$1</c:f>
              <c:strCache>
                <c:ptCount val="2"/>
                <c:pt idx="0">
                  <c:v>2019年</c:v>
                </c:pt>
                <c:pt idx="1">
                  <c:v>2020年</c:v>
                </c:pt>
              </c:strCache>
            </c:strRef>
          </c:cat>
          <c:val>
            <c:numRef>
              <c:f>Sheet1!$B$2:$C$2</c:f>
              <c:numCache>
                <c:formatCode>General</c:formatCode>
                <c:ptCount val="2"/>
                <c:pt idx="0">
                  <c:v>2586.94</c:v>
                </c:pt>
                <c:pt idx="1">
                  <c:v>3224.62</c:v>
                </c:pt>
              </c:numCache>
            </c:numRef>
          </c:val>
        </c:ser>
        <c:ser>
          <c:idx val="1"/>
          <c:order val="1"/>
          <c:tx>
            <c:strRef>
              <c:f>Sheet1!$A$3</c:f>
              <c:strCache>
                <c:ptCount val="1"/>
                <c:pt idx="0">
                  <c:v>支出（万元）</c:v>
                </c:pt>
              </c:strCache>
            </c:strRef>
          </c:tx>
          <c:spPr>
            <a:solidFill>
              <a:srgbClr val="993366"/>
            </a:solidFill>
            <a:ln w="11771">
              <a:solidFill>
                <a:srgbClr val="000000"/>
              </a:solidFill>
              <a:prstDash val="solid"/>
            </a:ln>
          </c:spPr>
          <c:invertIfNegative val="0"/>
          <c:dLbls>
            <c:delete val="1"/>
          </c:dLbls>
          <c:cat>
            <c:strRef>
              <c:f>Sheet1!$B$1:$C$1</c:f>
              <c:strCache>
                <c:ptCount val="2"/>
                <c:pt idx="0">
                  <c:v>2019年</c:v>
                </c:pt>
                <c:pt idx="1">
                  <c:v>2020年</c:v>
                </c:pt>
              </c:strCache>
            </c:strRef>
          </c:cat>
          <c:val>
            <c:numRef>
              <c:f>Sheet1!$B$3:$C$3</c:f>
              <c:numCache>
                <c:formatCode>General</c:formatCode>
                <c:ptCount val="2"/>
                <c:pt idx="0">
                  <c:v>2586.94</c:v>
                </c:pt>
                <c:pt idx="1">
                  <c:v>3224.62</c:v>
                </c:pt>
              </c:numCache>
            </c:numRef>
          </c:val>
        </c:ser>
        <c:dLbls>
          <c:showLegendKey val="0"/>
          <c:showVal val="0"/>
          <c:showCatName val="0"/>
          <c:showSerName val="0"/>
          <c:showPercent val="0"/>
          <c:showBubbleSize val="0"/>
        </c:dLbls>
        <c:gapWidth val="150"/>
        <c:axId val="20894464"/>
        <c:axId val="20896000"/>
      </c:barChart>
      <c:catAx>
        <c:axId val="20894464"/>
        <c:scaling>
          <c:orientation val="minMax"/>
        </c:scaling>
        <c:delete val="0"/>
        <c:axPos val="b"/>
        <c:numFmt formatCode="General" sourceLinked="1"/>
        <c:majorTickMark val="in"/>
        <c:minorTickMark val="none"/>
        <c:tickLblPos val="low"/>
        <c:spPr>
          <a:ln w="2943" cap="flat" cmpd="sng" algn="ctr">
            <a:solidFill>
              <a:srgbClr val="000000"/>
            </a:solidFill>
            <a:prstDash val="solid"/>
            <a:round/>
          </a:ln>
        </c:spPr>
        <c:txPr>
          <a:bodyPr rot="0" spcFirstLastPara="0" vertOverflow="ellipsis" vert="horz" wrap="square" anchor="ctr" anchorCtr="1"/>
          <a:lstStyle/>
          <a:p>
            <a:pPr>
              <a:defRPr lang="zh-CN" sz="11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0896000"/>
        <c:crosses val="autoZero"/>
        <c:auto val="1"/>
        <c:lblAlgn val="ctr"/>
        <c:lblOffset val="100"/>
        <c:tickLblSkip val="1"/>
        <c:noMultiLvlLbl val="0"/>
      </c:catAx>
      <c:valAx>
        <c:axId val="20896000"/>
        <c:scaling>
          <c:orientation val="minMax"/>
        </c:scaling>
        <c:delete val="0"/>
        <c:axPos val="l"/>
        <c:majorGridlines>
          <c:spPr>
            <a:ln w="2943" cap="flat" cmpd="sng" algn="ctr">
              <a:solidFill>
                <a:srgbClr val="000000"/>
              </a:solidFill>
              <a:prstDash val="solid"/>
              <a:round/>
            </a:ln>
          </c:spPr>
        </c:majorGridlines>
        <c:numFmt formatCode="General" sourceLinked="1"/>
        <c:majorTickMark val="in"/>
        <c:minorTickMark val="none"/>
        <c:tickLblPos val="nextTo"/>
        <c:spPr>
          <a:ln w="2943" cap="flat" cmpd="sng" algn="ctr">
            <a:solidFill>
              <a:srgbClr val="000000"/>
            </a:solidFill>
            <a:prstDash val="solid"/>
            <a:round/>
          </a:ln>
        </c:spPr>
        <c:txPr>
          <a:bodyPr rot="0" spcFirstLastPara="0" vertOverflow="ellipsis" vert="horz" wrap="square" anchor="ctr" anchorCtr="1"/>
          <a:lstStyle/>
          <a:p>
            <a:pPr>
              <a:defRPr lang="zh-CN" sz="11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0894464"/>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665768194070081"/>
          <c:y val="0.413654618473896"/>
          <c:w val="0.323450134770889"/>
          <c:h val="0.172690763052209"/>
        </c:manualLayout>
      </c:layout>
      <c:overlay val="0"/>
      <c:spPr>
        <a:noFill/>
        <a:ln w="2943">
          <a:solidFill>
            <a:srgbClr val="000000"/>
          </a:solidFill>
          <a:prstDash val="solid"/>
        </a:ln>
      </c:spPr>
      <c:txPr>
        <a:bodyPr rot="0" spcFirstLastPara="0" vertOverflow="ellipsis" vert="horz" wrap="square" anchor="ctr" anchorCtr="1"/>
        <a:lstStyle/>
        <a:p>
          <a:pPr>
            <a:defRPr lang="zh-CN" sz="10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6350" cap="flat" cmpd="sng" algn="ctr">
      <a:noFill/>
      <a:prstDash val="solid"/>
      <a:round/>
    </a:ln>
  </c:spPr>
  <c:txPr>
    <a:bodyPr/>
    <a:lstStyle/>
    <a:p>
      <a:pPr>
        <a:defRPr lang="zh-CN" sz="111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Pt>
            <c:idx val="3"/>
            <c:bubble3D val="0"/>
          </c:dPt>
          <c:dLbls>
            <c:delete val="1"/>
          </c:dLbls>
          <c:cat>
            <c:strRef>
              <c:f>Sheet1!$A$2:$A$5</c:f>
              <c:strCache>
                <c:ptCount val="4"/>
                <c:pt idx="0">
                  <c:v>财政拨款收入</c:v>
                </c:pt>
                <c:pt idx="1">
                  <c:v>经营收入</c:v>
                </c:pt>
                <c:pt idx="2">
                  <c:v>事业收入</c:v>
                </c:pt>
                <c:pt idx="3">
                  <c:v>其他收入</c:v>
                </c:pt>
              </c:strCache>
            </c:strRef>
          </c:cat>
          <c:val>
            <c:numRef>
              <c:f>Sheet1!$B$2:$B$5</c:f>
              <c:numCache>
                <c:formatCode>General</c:formatCode>
                <c:ptCount val="4"/>
                <c:pt idx="0">
                  <c:v>3224.62</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Lbls>
            <c:delete val="1"/>
          </c:dLbls>
          <c:cat>
            <c:strRef>
              <c:f>Sheet1!$A$2:$A$4</c:f>
              <c:strCache>
                <c:ptCount val="3"/>
                <c:pt idx="0">
                  <c:v>基本支出</c:v>
                </c:pt>
                <c:pt idx="1">
                  <c:v>项目支出</c:v>
                </c:pt>
                <c:pt idx="2">
                  <c:v>经营支出</c:v>
                </c:pt>
              </c:strCache>
            </c:strRef>
          </c:cat>
          <c:val>
            <c:numRef>
              <c:f>Sheet1!$B$2:$B$4</c:f>
              <c:numCache>
                <c:formatCode>General</c:formatCode>
                <c:ptCount val="3"/>
                <c:pt idx="0">
                  <c:v>2585.08</c:v>
                </c:pt>
                <c:pt idx="1">
                  <c:v>639</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elete val="1"/>
          </c:dLbls>
          <c:cat>
            <c:strRef>
              <c:f>Sheet1!$A$2:$A$3</c:f>
              <c:strCache>
                <c:ptCount val="2"/>
                <c:pt idx="0">
                  <c:v>2019年</c:v>
                </c:pt>
                <c:pt idx="1">
                  <c:v>2020年</c:v>
                </c:pt>
              </c:strCache>
            </c:strRef>
          </c:cat>
          <c:val>
            <c:numRef>
              <c:f>Sheet1!$B$2:$B$3</c:f>
              <c:numCache>
                <c:formatCode>General</c:formatCode>
                <c:ptCount val="2"/>
                <c:pt idx="0">
                  <c:v>2586.94</c:v>
                </c:pt>
                <c:pt idx="1">
                  <c:v>3224.62</c:v>
                </c:pt>
              </c:numCache>
            </c:numRef>
          </c:val>
        </c:ser>
        <c:ser>
          <c:idx val="1"/>
          <c:order val="1"/>
          <c:tx>
            <c:strRef>
              <c:f>Sheet1!$C$1</c:f>
              <c:strCache>
                <c:ptCount val="1"/>
                <c:pt idx="0">
                  <c:v>财政拨款支出</c:v>
                </c:pt>
              </c:strCache>
            </c:strRef>
          </c:tx>
          <c:invertIfNegative val="0"/>
          <c:dLbls>
            <c:delete val="1"/>
          </c:dLbls>
          <c:cat>
            <c:strRef>
              <c:f>Sheet1!$A$2:$A$3</c:f>
              <c:strCache>
                <c:ptCount val="2"/>
                <c:pt idx="0">
                  <c:v>2019年</c:v>
                </c:pt>
                <c:pt idx="1">
                  <c:v>2020年</c:v>
                </c:pt>
              </c:strCache>
            </c:strRef>
          </c:cat>
          <c:val>
            <c:numRef>
              <c:f>Sheet1!$C$2:$C$3</c:f>
              <c:numCache>
                <c:formatCode>General</c:formatCode>
                <c:ptCount val="2"/>
                <c:pt idx="0">
                  <c:v>2586.94</c:v>
                </c:pt>
                <c:pt idx="1">
                  <c:v>3224.62</c:v>
                </c:pt>
              </c:numCache>
            </c:numRef>
          </c:val>
        </c:ser>
        <c:dLbls>
          <c:showLegendKey val="0"/>
          <c:showVal val="0"/>
          <c:showCatName val="0"/>
          <c:showSerName val="0"/>
          <c:showPercent val="0"/>
          <c:showBubbleSize val="0"/>
        </c:dLbls>
        <c:gapWidth val="150"/>
        <c:axId val="20905344"/>
        <c:axId val="171918464"/>
      </c:barChart>
      <c:catAx>
        <c:axId val="209053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1918464"/>
        <c:crosses val="autoZero"/>
        <c:auto val="1"/>
        <c:lblAlgn val="ctr"/>
        <c:lblOffset val="100"/>
        <c:noMultiLvlLbl val="0"/>
      </c:catAx>
      <c:valAx>
        <c:axId val="171918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9053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一般公共预算财政拨款收入</c:v>
                </c:pt>
              </c:strCache>
            </c:strRef>
          </c:tx>
          <c:invertIfNegative val="0"/>
          <c:dLbls>
            <c:delete val="1"/>
          </c:dLbls>
          <c:cat>
            <c:strRef>
              <c:f>Sheet1!$A$2:$A$3</c:f>
              <c:strCache>
                <c:ptCount val="2"/>
                <c:pt idx="0">
                  <c:v>2019年</c:v>
                </c:pt>
                <c:pt idx="1">
                  <c:v>2020年</c:v>
                </c:pt>
              </c:strCache>
            </c:strRef>
          </c:cat>
          <c:val>
            <c:numRef>
              <c:f>Sheet1!$B$2:$B$3</c:f>
              <c:numCache>
                <c:formatCode>General</c:formatCode>
                <c:ptCount val="2"/>
                <c:pt idx="0">
                  <c:v>2586.94</c:v>
                </c:pt>
                <c:pt idx="1">
                  <c:v>3224.62</c:v>
                </c:pt>
              </c:numCache>
            </c:numRef>
          </c:val>
        </c:ser>
        <c:ser>
          <c:idx val="1"/>
          <c:order val="1"/>
          <c:tx>
            <c:strRef>
              <c:f>Sheet1!$C$1</c:f>
              <c:strCache>
                <c:ptCount val="1"/>
                <c:pt idx="0">
                  <c:v>一般公共预算财政拨款支出</c:v>
                </c:pt>
              </c:strCache>
            </c:strRef>
          </c:tx>
          <c:invertIfNegative val="0"/>
          <c:dLbls>
            <c:delete val="1"/>
          </c:dLbls>
          <c:cat>
            <c:strRef>
              <c:f>Sheet1!$A$2:$A$3</c:f>
              <c:strCache>
                <c:ptCount val="2"/>
                <c:pt idx="0">
                  <c:v>2019年</c:v>
                </c:pt>
                <c:pt idx="1">
                  <c:v>2020年</c:v>
                </c:pt>
              </c:strCache>
            </c:strRef>
          </c:cat>
          <c:val>
            <c:numRef>
              <c:f>Sheet1!$C$2:$C$3</c:f>
              <c:numCache>
                <c:formatCode>General</c:formatCode>
                <c:ptCount val="2"/>
                <c:pt idx="0">
                  <c:v>2586.94</c:v>
                </c:pt>
                <c:pt idx="1">
                  <c:v>3224.62</c:v>
                </c:pt>
              </c:numCache>
            </c:numRef>
          </c:val>
        </c:ser>
        <c:dLbls>
          <c:showLegendKey val="0"/>
          <c:showVal val="0"/>
          <c:showCatName val="0"/>
          <c:showSerName val="0"/>
          <c:showPercent val="0"/>
          <c:showBubbleSize val="0"/>
        </c:dLbls>
        <c:gapWidth val="150"/>
        <c:axId val="20849792"/>
        <c:axId val="20851328"/>
      </c:barChart>
      <c:catAx>
        <c:axId val="208497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851328"/>
        <c:crosses val="autoZero"/>
        <c:auto val="1"/>
        <c:lblAlgn val="ctr"/>
        <c:lblOffset val="100"/>
        <c:noMultiLvlLbl val="0"/>
      </c:catAx>
      <c:valAx>
        <c:axId val="208513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8497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金    额</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c:v>
                </c:pt>
                <c:pt idx="1">
                  <c:v>公务用车购置费</c:v>
                </c:pt>
                <c:pt idx="2">
                  <c:v>公务用车运行维护费</c:v>
                </c:pt>
                <c:pt idx="3">
                  <c:v>公务接待费</c:v>
                </c:pt>
              </c:strCache>
            </c:strRef>
          </c:cat>
          <c:val>
            <c:numRef>
              <c:f>Sheet1!$B$2:$B$5</c:f>
              <c:numCache>
                <c:formatCode>General</c:formatCode>
                <c:ptCount val="4"/>
                <c:pt idx="0">
                  <c:v>0</c:v>
                </c:pt>
                <c:pt idx="1">
                  <c:v>0</c:v>
                </c:pt>
                <c:pt idx="2">
                  <c:v>3.21</c:v>
                </c:pt>
                <c:pt idx="3">
                  <c:v>2.21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alpha val="72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741</Words>
  <Characters>4225</Characters>
  <Lines>35</Lines>
  <Paragraphs>9</Paragraphs>
  <TotalTime>0</TotalTime>
  <ScaleCrop>false</ScaleCrop>
  <LinksUpToDate>false</LinksUpToDate>
  <CharactersWithSpaces>4957</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2020-09-15T09:03:00Z</dcterms:created>
  <dc:creator>无所谓</dc:creator>
  <cp:lastModifiedBy>Administrator</cp:lastModifiedBy>
  <cp:lastPrinted>2021-08-26T08:27:00Z</cp:lastPrinted>
  <dcterms:modified xsi:type="dcterms:W3CDTF">2021-08-31T07:54:37Z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