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default" w:ascii="宋体" w:eastAsia="宋体" w:cs="宋体"/>
          <w:b/>
          <w:bCs/>
          <w:sz w:val="48"/>
          <w:szCs w:val="48"/>
          <w:lang w:val="en-US" w:eastAsia="zh-CN"/>
        </w:rPr>
      </w:pPr>
      <w:r>
        <w:rPr>
          <w:rFonts w:hint="eastAsia" w:ascii="宋体" w:cs="宋体"/>
          <w:b/>
          <w:bCs/>
          <w:sz w:val="48"/>
          <w:szCs w:val="48"/>
        </w:rPr>
        <w:t>岐山县</w:t>
      </w:r>
      <w:r>
        <w:rPr>
          <w:rFonts w:ascii="宋体" w:cs="宋体"/>
          <w:b/>
          <w:bCs/>
          <w:sz w:val="48"/>
          <w:szCs w:val="48"/>
        </w:rPr>
        <w:t>蔡家坡</w:t>
      </w:r>
      <w:r>
        <w:rPr>
          <w:rFonts w:hint="eastAsia" w:ascii="宋体" w:cs="宋体"/>
          <w:b/>
          <w:bCs/>
          <w:sz w:val="48"/>
          <w:szCs w:val="48"/>
          <w:lang w:val="en-US" w:eastAsia="zh-CN"/>
        </w:rPr>
        <w:t>经开区管委会</w:t>
      </w:r>
    </w:p>
    <w:p>
      <w:pPr>
        <w:spacing w:line="560" w:lineRule="exact"/>
        <w:jc w:val="center"/>
        <w:rPr>
          <w:rFonts w:hint="eastAsia" w:eastAsia="宋体" w:asciiTheme="majorEastAsia" w:hAnsiTheme="majorEastAsia" w:cstheme="majorEastAsia"/>
          <w:b/>
          <w:bCs/>
          <w:sz w:val="44"/>
          <w:szCs w:val="44"/>
          <w:lang w:eastAsia="zh-CN"/>
        </w:rPr>
      </w:pPr>
      <w:r>
        <w:rPr>
          <w:rFonts w:hint="eastAsia" w:ascii="宋体" w:cs="宋体"/>
          <w:b/>
          <w:bCs/>
          <w:sz w:val="48"/>
          <w:szCs w:val="48"/>
        </w:rPr>
        <w:t>20</w:t>
      </w:r>
      <w:r>
        <w:rPr>
          <w:rFonts w:ascii="宋体" w:cs="宋体"/>
          <w:b/>
          <w:bCs/>
          <w:sz w:val="48"/>
          <w:szCs w:val="48"/>
        </w:rPr>
        <w:t>21</w:t>
      </w:r>
      <w:r>
        <w:rPr>
          <w:rFonts w:hint="eastAsia" w:ascii="宋体" w:cs="宋体"/>
          <w:b/>
          <w:bCs/>
          <w:sz w:val="48"/>
          <w:szCs w:val="48"/>
        </w:rPr>
        <w:t>年度部门决算</w:t>
      </w:r>
      <w:r>
        <w:rPr>
          <w:rFonts w:ascii="宋体" w:cs="宋体"/>
          <w:b/>
          <w:bCs/>
          <w:sz w:val="48"/>
          <w:szCs w:val="48"/>
        </w:rPr>
        <w:t>（汇总</w:t>
      </w:r>
      <w:r>
        <w:rPr>
          <w:rFonts w:hint="eastAsia" w:asciiTheme="majorEastAsia" w:hAnsiTheme="majorEastAsia" w:eastAsiaTheme="majorEastAsia" w:cstheme="majorEastAsia"/>
          <w:b/>
          <w:bCs/>
          <w:sz w:val="48"/>
          <w:szCs w:val="48"/>
          <w:lang w:eastAsia="zh-CN"/>
        </w:rPr>
        <w:t>）</w:t>
      </w: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spacing w:line="540" w:lineRule="exact"/>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spacing w:line="540" w:lineRule="exact"/>
        <w:ind w:firstLine="640" w:firstLineChars="200"/>
        <w:jc w:val="center"/>
      </w:pPr>
      <w:r>
        <w:rPr>
          <w:rFonts w:hint="eastAsia" w:ascii="黑体" w:hAnsi="宋体" w:eastAsia="黑体"/>
          <w:color w:val="000000"/>
          <w:kern w:val="0"/>
          <w:sz w:val="32"/>
          <w:szCs w:val="32"/>
          <w:lang w:bidi="ar"/>
        </w:rPr>
        <w:t xml:space="preserve">第二部分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ascii="黑体" w:hAnsi="宋体" w:eastAsia="黑体"/>
          <w:color w:val="000000"/>
          <w:kern w:val="0"/>
          <w:sz w:val="32"/>
          <w:szCs w:val="32"/>
          <w:lang w:bidi="ar"/>
        </w:rPr>
        <w:t>21</w:t>
      </w:r>
      <w:r>
        <w:rPr>
          <w:rFonts w:hint="eastAsia" w:ascii="黑体" w:hAnsi="宋体" w:eastAsia="黑体"/>
          <w:color w:val="000000"/>
          <w:kern w:val="0"/>
          <w:sz w:val="32"/>
          <w:szCs w:val="32"/>
          <w:lang w:bidi="ar"/>
        </w:rPr>
        <w:t>年部门决算情况说明</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spacing w:line="540" w:lineRule="exact"/>
        <w:ind w:firstLine="640" w:firstLineChars="200"/>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十一、机关运行经费支出情况说明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十二、政府采购支出情况说明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十三、国有资产占用及购置情况说明 </w:t>
      </w:r>
    </w:p>
    <w:p>
      <w:pPr>
        <w:spacing w:line="540" w:lineRule="exact"/>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第三部分 专业名词解释</w:t>
      </w:r>
    </w:p>
    <w:p>
      <w:pPr>
        <w:widowControl/>
        <w:spacing w:line="540" w:lineRule="exact"/>
        <w:jc w:val="center"/>
      </w:pPr>
      <w:r>
        <w:rPr>
          <w:rFonts w:hint="eastAsia" w:ascii="黑体" w:hAnsi="宋体" w:eastAsia="黑体"/>
          <w:color w:val="000000"/>
          <w:kern w:val="0"/>
          <w:sz w:val="32"/>
          <w:szCs w:val="32"/>
          <w:lang w:bidi="ar"/>
        </w:rPr>
        <w:t>第四部分  20</w:t>
      </w:r>
      <w:r>
        <w:rPr>
          <w:rFonts w:ascii="黑体" w:hAnsi="宋体" w:eastAsia="黑体"/>
          <w:color w:val="000000"/>
          <w:kern w:val="0"/>
          <w:sz w:val="32"/>
          <w:szCs w:val="32"/>
          <w:lang w:bidi="ar"/>
        </w:rPr>
        <w:t>21</w:t>
      </w:r>
      <w:r>
        <w:rPr>
          <w:rFonts w:hint="eastAsia" w:ascii="黑体" w:hAnsi="宋体" w:eastAsia="黑体"/>
          <w:color w:val="000000"/>
          <w:kern w:val="0"/>
          <w:sz w:val="32"/>
          <w:szCs w:val="32"/>
          <w:lang w:bidi="ar"/>
        </w:rPr>
        <w:t>年部门决算表</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九、国有资本经营预算财政拨款支出决算表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十、部门项目绩效目标自评表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十一、部门整体绩效目标自评表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p>
    <w:p>
      <w:pPr>
        <w:spacing w:line="540" w:lineRule="exact"/>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spacing w:line="540" w:lineRule="exact"/>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spacing w:line="540" w:lineRule="exact"/>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1、负责蔡家坡经开区招商引资工作。制定落实招商引资优惠政策，编制招商引资规划，宣传推介项目，策划、组织各类招商活动，实施招商投资项目的洽谈、签约等。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2、负责蔡家坡经开区项目建设工作。实施重大产业项目、基础设施项目、社会事业项目等，做大经开区经济总量。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3、负责蔡家坡经开区规划编制工作。编制、修订、实施蔡家坡城市总体规划、详细规划、土地利用总体规划、产业发展规划、重点示范镇建设规划等。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4、负责蔡家坡经开区环境建设工作。净化投资环境，持续开展投资环境综合整治，依法打击破坏投资环境行为。优化政策环境，落实国家关天经济区、新丝绸之路经济带产业集群建设等优惠政策。强化生态环境，建设宜工宜商、宜业宜居的魅力之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5、负责蔡家坡经开区投融资工作。加强融资平台建设，促进银企合作，创新融资模式，扩大融资规模，解决资金瓶颈问题。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仿宋" w:hAnsi="仿宋" w:eastAsia="仿宋" w:cs="仿宋"/>
          <w:sz w:val="30"/>
          <w:szCs w:val="30"/>
        </w:rPr>
      </w:pPr>
      <w:r>
        <w:rPr>
          <w:rFonts w:hint="eastAsia" w:ascii="仿宋" w:hAnsi="仿宋" w:eastAsia="仿宋" w:cs="仿宋"/>
          <w:color w:val="2B2B2B"/>
          <w:kern w:val="0"/>
          <w:sz w:val="30"/>
          <w:szCs w:val="30"/>
          <w:vertAlign w:val="baseline"/>
          <w:lang w:val="en-US" w:eastAsia="zh-CN" w:bidi="ar"/>
        </w:rPr>
        <w:t xml:space="preserve">6、负责蔡家坡经开区党建和党风廉政建设工作。做好所属基层组织建设及党员教育管理、区（镇）组织人事管理等工作。制定、实施党风廉政建设计划，严格监督问责，查处违法违纪案件。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left"/>
        <w:rPr>
          <w:rFonts w:hint="eastAsia" w:ascii="楷体" w:hAnsi="楷体" w:eastAsia="楷体" w:cs="楷体"/>
          <w:b/>
          <w:bCs/>
          <w:color w:val="000000"/>
          <w:kern w:val="0"/>
          <w:sz w:val="32"/>
          <w:szCs w:val="32"/>
          <w:lang w:bidi="ar"/>
        </w:rPr>
      </w:pPr>
      <w:r>
        <w:rPr>
          <w:rFonts w:hint="eastAsia" w:ascii="仿宋" w:hAnsi="仿宋" w:eastAsia="仿宋" w:cs="仿宋"/>
          <w:color w:val="2B2B2B"/>
          <w:kern w:val="0"/>
          <w:sz w:val="30"/>
          <w:szCs w:val="30"/>
          <w:vertAlign w:val="baseline"/>
          <w:lang w:val="en-US" w:eastAsia="zh-CN" w:bidi="ar"/>
        </w:rPr>
        <w:t xml:space="preserve">7、履行法律法规赋予的其他职能，完成上级党委、政府交办的其他工作。 </w:t>
      </w:r>
    </w:p>
    <w:p>
      <w:pPr>
        <w:widowControl/>
        <w:spacing w:line="54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ind w:firstLine="640"/>
        <w:rPr>
          <w:rFonts w:hint="eastAsia" w:ascii="宋体" w:hAnsi="宋体" w:eastAsia="宋体" w:cs="宋体"/>
          <w:color w:val="2B2B2B"/>
          <w:sz w:val="30"/>
          <w:szCs w:val="30"/>
          <w:vertAlign w:val="baseline"/>
        </w:rPr>
      </w:pPr>
      <w:r>
        <w:rPr>
          <w:rFonts w:hint="eastAsia" w:ascii="仿宋" w:hAnsi="仿宋" w:eastAsia="仿宋" w:cs="仿宋"/>
          <w:color w:val="2B2B2B"/>
          <w:sz w:val="30"/>
          <w:szCs w:val="30"/>
          <w:vertAlign w:val="baseline"/>
        </w:rPr>
        <w:t>蔡家坡经开区管委会为全额拨款的行政单位。现内设9个职能部门：党政综合办公室、组织人才办公室、纪检监察办公室、经济发展与规划管理局、招商服务局、建设局、岐山县国土资源局蔡家坡经开区分局、财政局、城市综合管理局。</w:t>
      </w:r>
    </w:p>
    <w:p>
      <w:pPr>
        <w:widowControl/>
        <w:spacing w:line="540" w:lineRule="exact"/>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 w:hAnsi="仿宋" w:eastAsia="仿宋" w:cs="仿宋"/>
          <w:sz w:val="32"/>
          <w:szCs w:val="32"/>
        </w:rPr>
      </w:pPr>
      <w:r>
        <w:rPr>
          <w:rFonts w:hint="eastAsia" w:ascii="仿宋" w:hAnsi="仿宋" w:eastAsia="仿宋" w:cs="仿宋"/>
          <w:sz w:val="32"/>
          <w:szCs w:val="32"/>
        </w:rPr>
        <w:t>纳入本部门20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年部门决算编制范围的单位包括本级及所属</w:t>
      </w:r>
      <w:r>
        <w:rPr>
          <w:rFonts w:hint="eastAsia" w:ascii="仿宋" w:hAnsi="仿宋" w:eastAsia="仿宋" w:cs="仿宋"/>
          <w:sz w:val="32"/>
          <w:szCs w:val="32"/>
          <w:lang w:val="en-US" w:eastAsia="zh-CN"/>
        </w:rPr>
        <w:t>9</w:t>
      </w:r>
      <w:r>
        <w:rPr>
          <w:rFonts w:hint="eastAsia" w:ascii="仿宋" w:hAnsi="仿宋" w:eastAsia="仿宋" w:cs="仿宋"/>
          <w:sz w:val="32"/>
          <w:szCs w:val="32"/>
        </w:rPr>
        <w:t>个下级单位：</w:t>
      </w:r>
    </w:p>
    <w:tbl>
      <w:tblPr>
        <w:tblStyle w:val="6"/>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90"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7590" w:type="dxa"/>
            <w:shd w:val="clear" w:color="auto" w:fill="auto"/>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陕西省蔡家坡经济技术开发区管理委员会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trPr>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7590" w:type="dxa"/>
            <w:shd w:val="clear" w:color="auto" w:fill="auto"/>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陕西省蔡家坡经济技术开发区管理委员会城市综合管理局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shd w:val="clear" w:color="auto" w:fill="auto"/>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7590" w:type="dxa"/>
            <w:shd w:val="clear" w:color="auto" w:fill="auto"/>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陕西省蔡家坡经济技术开发区管理委员会财政局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shd w:val="clear" w:color="auto" w:fill="auto"/>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陕西省蔡家坡经济技术开发区管理委员会岐山县国土资源局蔡家坡分局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陕西省蔡家坡经济技术开发区管理委员会纪检监察办公室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陕西省蔡家坡经济技术开发区管理委员会组织人才办公室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陕西省蔡家坡经济技术开发区管理委员会招商服务局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shd w:val="clear" w:color="auto" w:fill="auto"/>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7590" w:type="dxa"/>
            <w:shd w:val="clear" w:color="auto" w:fill="auto"/>
          </w:tcPr>
          <w:p>
            <w:pPr>
              <w:rPr>
                <w:rFonts w:hint="eastAsia" w:ascii="仿宋" w:hAnsi="仿宋" w:eastAsia="仿宋" w:cs="仿宋"/>
                <w:sz w:val="32"/>
                <w:szCs w:val="32"/>
              </w:rPr>
            </w:pPr>
            <w:r>
              <w:rPr>
                <w:rFonts w:hint="eastAsia" w:ascii="仿宋" w:hAnsi="仿宋" w:eastAsia="仿宋" w:cs="仿宋"/>
                <w:sz w:val="32"/>
                <w:szCs w:val="32"/>
                <w:lang w:eastAsia="zh-CN"/>
              </w:rPr>
              <w:t>陕西省蔡家坡经济技术开发区管理委员会经济发展与规划管理局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5" o:spt="75" type="#_x0000_t75" style="height:149.9pt;width:223.1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仿宋_GB2312" w:hAnsi="仿宋_GB2312" w:eastAsia="仿宋_GB2312" w:cs="仿宋_GB2312"/>
          <w:sz w:val="32"/>
          <w:szCs w:val="32"/>
        </w:rPr>
        <w:object>
          <v:shape id="_x0000_i1026" o:spt="75" type="#_x0000_t75" style="height:149.9pt;width:217.7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第二部分 20</w:t>
      </w:r>
      <w:r>
        <w:rPr>
          <w:rFonts w:ascii="黑体" w:hAnsi="宋体" w:eastAsia="黑体"/>
          <w:color w:val="000000"/>
          <w:kern w:val="0"/>
          <w:sz w:val="44"/>
          <w:szCs w:val="44"/>
          <w:lang w:bidi="ar"/>
        </w:rPr>
        <w:t>21</w:t>
      </w:r>
      <w:r>
        <w:rPr>
          <w:rFonts w:hint="eastAsia" w:ascii="黑体" w:hAnsi="宋体" w:eastAsia="黑体"/>
          <w:color w:val="000000"/>
          <w:kern w:val="0"/>
          <w:sz w:val="44"/>
          <w:szCs w:val="44"/>
          <w:lang w:bidi="ar"/>
        </w:rPr>
        <w:t xml:space="preserve"> 年度部门决算情况说明</w:t>
      </w:r>
    </w:p>
    <w:p>
      <w:pPr>
        <w:widowControl/>
        <w:spacing w:line="240" w:lineRule="exact"/>
        <w:rPr>
          <w:rFonts w:ascii="黑体" w:hAnsi="宋体" w:eastAsia="黑体"/>
          <w:color w:val="000000"/>
          <w:kern w:val="0"/>
          <w:sz w:val="44"/>
          <w:szCs w:val="44"/>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62115.64万元，较上年</w:t>
      </w:r>
      <w:r>
        <w:rPr>
          <w:rFonts w:hint="eastAsia" w:ascii="仿宋_GB2312" w:hAnsi="仿宋" w:eastAsia="仿宋_GB2312"/>
          <w:sz w:val="32"/>
          <w:szCs w:val="32"/>
        </w:rPr>
        <w:t>总体情况及比上年</w:t>
      </w:r>
      <w:r>
        <w:rPr>
          <w:rFonts w:hint="eastAsia" w:ascii="仿宋_GB2312" w:hAnsi="仿宋" w:eastAsia="仿宋_GB2312"/>
          <w:sz w:val="32"/>
          <w:szCs w:val="32"/>
          <w:lang w:val="en-US" w:eastAsia="zh-CN"/>
        </w:rPr>
        <w:t>减少8439.36万元</w:t>
      </w:r>
      <w:r>
        <w:rPr>
          <w:rFonts w:hint="eastAsia" w:ascii="仿宋_GB2312" w:hAnsi="仿宋" w:eastAsia="仿宋_GB2312"/>
          <w:sz w:val="32"/>
          <w:szCs w:val="32"/>
        </w:rPr>
        <w:t>情况，主要原因</w:t>
      </w:r>
      <w:r>
        <w:rPr>
          <w:rFonts w:hint="eastAsia" w:ascii="仿宋_GB2312" w:hAnsi="仿宋" w:eastAsia="仿宋_GB2312"/>
          <w:sz w:val="32"/>
          <w:szCs w:val="32"/>
          <w:lang w:eastAsia="zh-CN"/>
        </w:rPr>
        <w:t>是财政拨款</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，项目费用</w:t>
      </w:r>
      <w:r>
        <w:rPr>
          <w:rFonts w:hint="eastAsia" w:ascii="仿宋_GB2312" w:hAnsi="仿宋" w:eastAsia="仿宋_GB2312"/>
          <w:sz w:val="32"/>
          <w:szCs w:val="32"/>
          <w:lang w:val="en-US" w:eastAsia="zh-CN"/>
        </w:rPr>
        <w:t>减少</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448945</wp:posOffset>
            </wp:positionH>
            <wp:positionV relativeFrom="paragraph">
              <wp:posOffset>163195</wp:posOffset>
            </wp:positionV>
            <wp:extent cx="4905375" cy="2466975"/>
            <wp:effectExtent l="0" t="0" r="0" b="0"/>
            <wp:wrapSquare wrapText="bothSides"/>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年收入合计</w:t>
      </w:r>
      <w:r>
        <w:rPr>
          <w:rFonts w:hint="eastAsia" w:ascii="仿宋_GB2312" w:hAnsi="仿宋" w:eastAsia="仿宋_GB2312"/>
          <w:sz w:val="32"/>
          <w:szCs w:val="32"/>
          <w:lang w:val="en-US" w:eastAsia="zh-CN"/>
        </w:rPr>
        <w:t>62115.64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，其中：财政拨款收入</w:t>
      </w:r>
      <w:r>
        <w:rPr>
          <w:rFonts w:hint="eastAsia" w:ascii="仿宋_GB2312" w:hAnsi="宋体" w:eastAsia="仿宋_GB2312" w:cs="仿宋_GB2312"/>
          <w:color w:val="000000"/>
          <w:kern w:val="0"/>
          <w:sz w:val="32"/>
          <w:szCs w:val="32"/>
          <w:lang w:val="en-US" w:eastAsia="zh-CN" w:bidi="ar"/>
        </w:rPr>
        <w:t>62115.64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center"/>
        <w:rPr>
          <w:rFonts w:ascii="黑体" w:hAnsi="黑体" w:eastAsia="黑体"/>
          <w:color w:val="000000"/>
          <w:kern w:val="0"/>
          <w:sz w:val="32"/>
          <w:szCs w:val="32"/>
          <w:lang w:bidi="ar"/>
        </w:rPr>
      </w:pPr>
      <w:r>
        <w:rPr>
          <w:rFonts w:hint="eastAsia" w:ascii="仿宋_GB2312" w:hAnsi="仿宋_GB2312" w:eastAsia="仿宋_GB2312" w:cs="仿宋_GB2312"/>
          <w:color w:val="000000"/>
          <w:kern w:val="0"/>
          <w:sz w:val="32"/>
          <w:szCs w:val="32"/>
        </w:rPr>
        <w:drawing>
          <wp:inline distT="0" distB="0" distL="0" distR="0">
            <wp:extent cx="4429125" cy="24860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pacing w:line="540" w:lineRule="exact"/>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年支出合计</w:t>
      </w:r>
      <w:r>
        <w:rPr>
          <w:rFonts w:hint="eastAsia" w:ascii="仿宋_GB2312" w:hAnsi="仿宋" w:eastAsia="仿宋_GB2312"/>
          <w:sz w:val="32"/>
          <w:szCs w:val="32"/>
          <w:lang w:val="en-US" w:eastAsia="zh-CN"/>
        </w:rPr>
        <w:t>62115.64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，其中：基本支出</w:t>
      </w:r>
      <w:r>
        <w:rPr>
          <w:rFonts w:hint="eastAsia" w:ascii="仿宋_GB2312" w:hAnsi="宋体" w:eastAsia="仿宋_GB2312" w:cs="仿宋_GB2312"/>
          <w:color w:val="000000"/>
          <w:kern w:val="0"/>
          <w:sz w:val="32"/>
          <w:szCs w:val="32"/>
          <w:lang w:val="en-US" w:eastAsia="zh-CN" w:bidi="ar"/>
        </w:rPr>
        <w:t>1935.21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3.12</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60180.43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96.88</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rPr>
        <w:drawing>
          <wp:inline distT="0" distB="0" distL="0" distR="0">
            <wp:extent cx="4591685" cy="3073400"/>
            <wp:effectExtent l="4445" t="4445" r="13970"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62115.64万元，较上年</w:t>
      </w:r>
      <w:r>
        <w:rPr>
          <w:rFonts w:hint="eastAsia" w:ascii="仿宋_GB2312" w:hAnsi="仿宋" w:eastAsia="仿宋_GB2312"/>
          <w:sz w:val="32"/>
          <w:szCs w:val="32"/>
        </w:rPr>
        <w:t>总体情况及比上年</w:t>
      </w:r>
      <w:r>
        <w:rPr>
          <w:rFonts w:hint="eastAsia" w:ascii="仿宋_GB2312" w:hAnsi="仿宋" w:eastAsia="仿宋_GB2312"/>
          <w:sz w:val="32"/>
          <w:szCs w:val="32"/>
          <w:lang w:val="en-US" w:eastAsia="zh-CN"/>
        </w:rPr>
        <w:t>减少8439.36万元</w:t>
      </w:r>
      <w:r>
        <w:rPr>
          <w:rFonts w:hint="eastAsia" w:ascii="仿宋_GB2312" w:hAnsi="仿宋" w:eastAsia="仿宋_GB2312"/>
          <w:sz w:val="32"/>
          <w:szCs w:val="32"/>
        </w:rPr>
        <w:t>情况，</w:t>
      </w:r>
      <w:r>
        <w:rPr>
          <w:rFonts w:hint="eastAsia" w:ascii="仿宋_GB2312" w:hAnsi="仿宋" w:eastAsia="仿宋_GB2312"/>
          <w:sz w:val="32"/>
          <w:szCs w:val="32"/>
          <w:lang w:val="en-US" w:eastAsia="zh-CN"/>
        </w:rPr>
        <w:t>下降11.96%，</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是财政拨款</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，项目费用</w:t>
      </w:r>
      <w:r>
        <w:rPr>
          <w:rFonts w:hint="eastAsia" w:ascii="仿宋_GB2312" w:hAnsi="仿宋" w:eastAsia="仿宋_GB2312"/>
          <w:sz w:val="32"/>
          <w:szCs w:val="32"/>
          <w:lang w:val="en-US" w:eastAsia="zh-CN"/>
        </w:rPr>
        <w:t>减少</w:t>
      </w:r>
    </w:p>
    <w:p>
      <w:pPr>
        <w:widowControl/>
        <w:rPr>
          <w:rFonts w:ascii="仿宋_GB2312" w:hAnsi="仿宋" w:eastAsia="仿宋_GB2312"/>
          <w:sz w:val="32"/>
          <w:szCs w:val="32"/>
        </w:rPr>
      </w:pPr>
      <w:r>
        <w:rPr>
          <w:rFonts w:hint="eastAsia" w:ascii="仿宋_GB2312" w:hAnsi="仿宋" w:eastAsia="仿宋_GB2312"/>
          <w:sz w:val="32"/>
          <w:szCs w:val="32"/>
        </w:rPr>
        <w:drawing>
          <wp:inline distT="0" distB="0" distL="0" distR="0">
            <wp:extent cx="5271135" cy="2371725"/>
            <wp:effectExtent l="4445" t="4445" r="20320" b="508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w:t>
      </w:r>
      <w:r>
        <w:rPr>
          <w:rFonts w:hint="eastAsia" w:ascii="楷体_GB2312" w:hAnsi="宋体" w:eastAsia="楷体_GB2312" w:cs="楷体_GB2312"/>
          <w:b/>
          <w:color w:val="000000"/>
          <w:kern w:val="0"/>
          <w:sz w:val="32"/>
          <w:szCs w:val="32"/>
          <w:lang w:bidi="ar"/>
        </w:rPr>
        <w:t>一般公共预算</w:t>
      </w:r>
      <w:r>
        <w:rPr>
          <w:rFonts w:ascii="楷体_GB2312" w:hAnsi="宋体" w:eastAsia="楷体_GB2312" w:cs="楷体_GB2312"/>
          <w:b/>
          <w:color w:val="000000"/>
          <w:kern w:val="0"/>
          <w:sz w:val="32"/>
          <w:szCs w:val="32"/>
          <w:lang w:bidi="ar"/>
        </w:rPr>
        <w:t>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2021年</w:t>
      </w:r>
      <w:r>
        <w:rPr>
          <w:rFonts w:hint="eastAsia" w:ascii="仿宋_GB2312" w:hAnsi="宋体" w:eastAsia="仿宋_GB2312" w:cs="仿宋_GB2312"/>
          <w:color w:val="000000"/>
          <w:kern w:val="0"/>
          <w:sz w:val="32"/>
          <w:szCs w:val="32"/>
          <w:lang w:bidi="ar"/>
        </w:rPr>
        <w:t>一般公共预算</w:t>
      </w:r>
      <w:r>
        <w:rPr>
          <w:rFonts w:ascii="仿宋_GB2312" w:hAnsi="宋体" w:eastAsia="仿宋_GB2312" w:cs="仿宋_GB2312"/>
          <w:color w:val="000000"/>
          <w:kern w:val="0"/>
          <w:sz w:val="32"/>
          <w:szCs w:val="32"/>
          <w:lang w:bidi="ar"/>
        </w:rPr>
        <w:t>财政拨款支出</w:t>
      </w:r>
      <w:r>
        <w:rPr>
          <w:rFonts w:hint="eastAsia" w:ascii="仿宋_GB2312" w:hAnsi="宋体" w:eastAsia="仿宋_GB2312" w:cs="仿宋_GB2312"/>
          <w:color w:val="000000"/>
          <w:kern w:val="0"/>
          <w:sz w:val="32"/>
          <w:szCs w:val="32"/>
          <w:lang w:val="en-US" w:eastAsia="zh-CN" w:bidi="ar"/>
        </w:rPr>
        <w:t>25383.60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，占本年支出合计的</w:t>
      </w:r>
      <w:r>
        <w:rPr>
          <w:rFonts w:hint="eastAsia" w:ascii="仿宋_GB2312" w:hAnsi="宋体" w:eastAsia="仿宋_GB2312" w:cs="仿宋_GB2312"/>
          <w:color w:val="000000"/>
          <w:kern w:val="0"/>
          <w:sz w:val="32"/>
          <w:szCs w:val="32"/>
          <w:lang w:val="en-US" w:eastAsia="zh-CN" w:bidi="ar"/>
        </w:rPr>
        <w:t>40.87</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6453.60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，增长</w:t>
      </w:r>
      <w:r>
        <w:rPr>
          <w:rFonts w:hint="eastAsia" w:ascii="仿宋_GB2312" w:hAnsi="宋体" w:eastAsia="仿宋_GB2312" w:cs="仿宋_GB2312"/>
          <w:color w:val="000000"/>
          <w:kern w:val="0"/>
          <w:sz w:val="32"/>
          <w:szCs w:val="32"/>
          <w:lang w:val="en-US" w:eastAsia="zh-CN" w:bidi="ar"/>
        </w:rPr>
        <w:t>34.09</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val="en-US" w:eastAsia="zh-CN" w:bidi="ar"/>
        </w:rPr>
        <w:t>基本支出及一般项目支出增加</w:t>
      </w:r>
      <w:r>
        <w:rPr>
          <w:rFonts w:hint="eastAsia" w:ascii="仿宋_GB2312" w:hAnsi="宋体" w:eastAsia="仿宋_GB2312" w:cs="仿宋_GB2312"/>
          <w:color w:val="000000"/>
          <w:kern w:val="0"/>
          <w:sz w:val="32"/>
          <w:szCs w:val="32"/>
          <w:lang w:bidi="ar"/>
        </w:rPr>
        <w:t>。</w:t>
      </w:r>
    </w:p>
    <w:p>
      <w:pPr>
        <w:widowControl/>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drawing>
          <wp:inline distT="0" distB="0" distL="0" distR="0">
            <wp:extent cx="5486400" cy="3200400"/>
            <wp:effectExtent l="0" t="0" r="19050"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（二）一般公共预算</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2021年</w:t>
      </w:r>
      <w:r>
        <w:rPr>
          <w:rFonts w:hint="eastAsia" w:ascii="仿宋_GB2312" w:hAnsi="宋体" w:eastAsia="仿宋_GB2312" w:cs="仿宋_GB2312"/>
          <w:color w:val="000000"/>
          <w:kern w:val="0"/>
          <w:sz w:val="32"/>
          <w:szCs w:val="32"/>
          <w:lang w:bidi="ar"/>
        </w:rPr>
        <w:t>一般公共预算</w:t>
      </w:r>
      <w:r>
        <w:rPr>
          <w:rFonts w:ascii="仿宋_GB2312" w:hAnsi="宋体" w:eastAsia="仿宋_GB2312" w:cs="仿宋_GB2312"/>
          <w:color w:val="000000"/>
          <w:kern w:val="0"/>
          <w:sz w:val="32"/>
          <w:szCs w:val="32"/>
          <w:lang w:bidi="ar"/>
        </w:rPr>
        <w:t>财政拨款支出年初预算为</w:t>
      </w:r>
      <w:r>
        <w:rPr>
          <w:rFonts w:hint="eastAsia" w:ascii="仿宋_GB2312" w:hAnsi="宋体" w:eastAsia="仿宋_GB2312" w:cs="仿宋_GB2312"/>
          <w:color w:val="000000"/>
          <w:kern w:val="0"/>
          <w:sz w:val="32"/>
          <w:szCs w:val="32"/>
          <w:lang w:val="en-US" w:eastAsia="zh-CN" w:bidi="ar"/>
        </w:rPr>
        <w:t>6982.27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25383.60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363.55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spacing w:line="540" w:lineRule="exact"/>
        <w:ind w:firstLine="640" w:firstLineChars="200"/>
        <w:jc w:val="left"/>
        <w:rPr>
          <w:b w:val="0"/>
          <w:bCs/>
        </w:rPr>
      </w:pPr>
      <w:r>
        <w:rPr>
          <w:rFonts w:ascii="仿宋_GB2312" w:hAnsi="宋体" w:eastAsia="仿宋_GB2312" w:cs="仿宋_GB2312"/>
          <w:b w:val="0"/>
          <w:bCs/>
          <w:color w:val="000000"/>
          <w:kern w:val="0"/>
          <w:sz w:val="32"/>
          <w:szCs w:val="32"/>
          <w:lang w:bidi="ar"/>
        </w:rPr>
        <w:t xml:space="preserve">1.一般公共服务支出（类）财政事务（款）行政运行（项）。 </w:t>
      </w:r>
    </w:p>
    <w:p>
      <w:pPr>
        <w:widowControl/>
        <w:spacing w:line="540" w:lineRule="exact"/>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2715.47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2835.51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104.38</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基本支出增加，财政拨款增加</w:t>
      </w:r>
      <w:r>
        <w:rPr>
          <w:rFonts w:hint="eastAsia" w:ascii="仿宋_GB2312" w:hAnsi="宋体" w:eastAsia="仿宋_GB2312" w:cs="仿宋_GB2312"/>
          <w:color w:val="000000"/>
          <w:kern w:val="0"/>
          <w:sz w:val="32"/>
          <w:szCs w:val="32"/>
          <w:lang w:bidi="ar"/>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eastAsia="zh-CN" w:bidi="ar"/>
        </w:rPr>
        <w:t>教育支出，年初预算为</w:t>
      </w:r>
      <w:r>
        <w:rPr>
          <w:rFonts w:hint="eastAsia" w:ascii="仿宋_GB2312" w:hAnsi="宋体" w:eastAsia="仿宋_GB2312" w:cs="仿宋_GB2312"/>
          <w:color w:val="000000"/>
          <w:kern w:val="0"/>
          <w:sz w:val="32"/>
          <w:szCs w:val="32"/>
          <w:lang w:val="en-US" w:eastAsia="zh-CN" w:bidi="ar"/>
        </w:rPr>
        <w:t>10万元，支出为1.17万元，</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培训次数及人数减少</w:t>
      </w:r>
      <w:r>
        <w:rPr>
          <w:rFonts w:hint="eastAsia" w:ascii="仿宋_GB2312" w:hAnsi="宋体" w:eastAsia="仿宋_GB2312" w:cs="仿宋_GB2312"/>
          <w:color w:val="000000"/>
          <w:kern w:val="0"/>
          <w:sz w:val="32"/>
          <w:szCs w:val="32"/>
          <w:lang w:eastAsia="zh-CN" w:bidi="ar"/>
        </w:rPr>
        <w:t>，财政拨款</w:t>
      </w:r>
      <w:r>
        <w:rPr>
          <w:rFonts w:hint="eastAsia" w:ascii="仿宋_GB2312" w:hAnsi="宋体" w:eastAsia="仿宋_GB2312" w:cs="仿宋_GB2312"/>
          <w:color w:val="000000"/>
          <w:kern w:val="0"/>
          <w:sz w:val="32"/>
          <w:szCs w:val="32"/>
          <w:lang w:val="en-US" w:eastAsia="zh-CN" w:bidi="ar"/>
        </w:rPr>
        <w:t>减少</w:t>
      </w:r>
      <w:r>
        <w:rPr>
          <w:rFonts w:hint="eastAsia" w:ascii="仿宋_GB2312" w:hAnsi="宋体" w:eastAsia="仿宋_GB2312" w:cs="仿宋_GB2312"/>
          <w:color w:val="000000"/>
          <w:kern w:val="0"/>
          <w:sz w:val="32"/>
          <w:szCs w:val="32"/>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eastAsia="zh-CN" w:bidi="ar"/>
        </w:rPr>
        <w:t>节能环保支出，年初预算为</w:t>
      </w:r>
      <w:r>
        <w:rPr>
          <w:rFonts w:hint="eastAsia" w:ascii="仿宋_GB2312" w:hAnsi="宋体" w:eastAsia="仿宋_GB2312" w:cs="仿宋_GB2312"/>
          <w:color w:val="000000"/>
          <w:kern w:val="0"/>
          <w:sz w:val="32"/>
          <w:szCs w:val="32"/>
          <w:lang w:val="en-US" w:eastAsia="zh-CN" w:bidi="ar"/>
        </w:rPr>
        <w:t>2143万元，支出决算为3846.93万元，完成年初预算的179.51%。</w:t>
      </w:r>
      <w:r>
        <w:rPr>
          <w:rFonts w:ascii="仿宋_GB2312" w:hAnsi="宋体" w:eastAsia="仿宋_GB2312" w:cs="仿宋_GB2312"/>
          <w:color w:val="000000"/>
          <w:kern w:val="0"/>
          <w:sz w:val="32"/>
          <w:szCs w:val="32"/>
          <w:lang w:bidi="ar"/>
        </w:rPr>
        <w:t>决算数大于预算</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bidi="ar"/>
        </w:rPr>
        <w:t>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29" w:leftChars="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eastAsia="zh-CN" w:bidi="ar"/>
        </w:rPr>
        <w:t>城乡社区支出，年初预算为</w:t>
      </w:r>
      <w:r>
        <w:rPr>
          <w:rFonts w:hint="eastAsia" w:ascii="仿宋_GB2312" w:hAnsi="宋体" w:eastAsia="仿宋_GB2312" w:cs="仿宋_GB2312"/>
          <w:color w:val="000000"/>
          <w:kern w:val="0"/>
          <w:sz w:val="32"/>
          <w:szCs w:val="32"/>
          <w:lang w:val="en-US" w:eastAsia="zh-CN" w:bidi="ar"/>
        </w:rPr>
        <w:t>2063.8万元，支出决算为14955.01万元，完成年初预算的724.63%。</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29" w:leftChars="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eastAsia="zh-CN" w:bidi="ar"/>
        </w:rPr>
        <w:t>资源勘探工业信息等支出，年初预算为</w:t>
      </w:r>
      <w:r>
        <w:rPr>
          <w:rFonts w:hint="eastAsia" w:ascii="仿宋_GB2312" w:hAnsi="宋体" w:eastAsia="仿宋_GB2312" w:cs="仿宋_GB2312"/>
          <w:color w:val="000000"/>
          <w:kern w:val="0"/>
          <w:sz w:val="32"/>
          <w:szCs w:val="32"/>
          <w:lang w:val="en-US" w:eastAsia="zh-CN" w:bidi="ar"/>
        </w:rPr>
        <w:t>0万元，支出决算为3696.35万元。</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29" w:leftChars="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eastAsia="zh-CN" w:bidi="ar"/>
        </w:rPr>
        <w:t>自然资源海洋气象等支出，年初预算为</w:t>
      </w:r>
      <w:r>
        <w:rPr>
          <w:rFonts w:hint="eastAsia" w:ascii="仿宋_GB2312" w:hAnsi="宋体" w:eastAsia="仿宋_GB2312" w:cs="仿宋_GB2312"/>
          <w:color w:val="000000"/>
          <w:kern w:val="0"/>
          <w:sz w:val="32"/>
          <w:szCs w:val="32"/>
          <w:lang w:val="en-US" w:eastAsia="zh-CN" w:bidi="ar"/>
        </w:rPr>
        <w:t>50万元，支出决算为48.62万元，完成年初预算的97.24%。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widowControl/>
        <w:numPr>
          <w:ilvl w:val="0"/>
          <w:numId w:val="0"/>
        </w:numPr>
        <w:spacing w:line="540" w:lineRule="exact"/>
        <w:ind w:left="630" w:leftChars="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7.</w:t>
      </w:r>
      <w:r>
        <w:rPr>
          <w:rFonts w:hint="eastAsia" w:ascii="仿宋_GB2312" w:hAnsi="宋体" w:eastAsia="仿宋_GB2312" w:cs="仿宋_GB2312"/>
          <w:color w:val="000000"/>
          <w:kern w:val="0"/>
          <w:sz w:val="32"/>
          <w:szCs w:val="32"/>
          <w:lang w:eastAsia="zh-CN" w:bidi="ar"/>
        </w:rPr>
        <w:t>其他支出，年初预算为</w:t>
      </w:r>
      <w:r>
        <w:rPr>
          <w:rFonts w:hint="eastAsia" w:ascii="仿宋_GB2312" w:hAnsi="宋体" w:eastAsia="仿宋_GB2312" w:cs="仿宋_GB2312"/>
          <w:color w:val="000000"/>
          <w:kern w:val="0"/>
          <w:sz w:val="32"/>
          <w:szCs w:val="32"/>
          <w:lang w:val="en-US" w:eastAsia="zh-CN" w:bidi="ar"/>
        </w:rPr>
        <w:t>5033.3万元，支出决算为22032.7万元，完成年初预算的437.74%。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项目支出增加，财政拨款增加</w:t>
      </w:r>
      <w:r>
        <w:rPr>
          <w:rFonts w:hint="eastAsia" w:ascii="仿宋_GB2312" w:hAnsi="宋体" w:eastAsia="仿宋_GB2312" w:cs="仿宋_GB2312"/>
          <w:color w:val="000000"/>
          <w:kern w:val="0"/>
          <w:sz w:val="32"/>
          <w:szCs w:val="32"/>
          <w:lang w:val="en-US" w:eastAsia="zh-CN" w:bidi="ar"/>
        </w:rPr>
        <w:t>.</w:t>
      </w:r>
    </w:p>
    <w:p>
      <w:pPr>
        <w:spacing w:line="54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2021年一般公共预算财政拨款基本支出</w:t>
      </w:r>
      <w:r>
        <w:rPr>
          <w:rFonts w:hint="eastAsia" w:ascii="仿宋_GB2312" w:hAnsi="仿宋_GB2312" w:eastAsia="仿宋_GB2312" w:cs="仿宋_GB2312"/>
          <w:color w:val="000000"/>
          <w:kern w:val="0"/>
          <w:sz w:val="31"/>
          <w:szCs w:val="31"/>
          <w:lang w:val="en-US" w:eastAsia="zh-CN" w:bidi="ar"/>
        </w:rPr>
        <w:t>1935.21</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，包括：人员经费支出</w:t>
      </w:r>
      <w:r>
        <w:rPr>
          <w:rFonts w:hint="eastAsia" w:ascii="仿宋_GB2312" w:hAnsi="仿宋_GB2312" w:eastAsia="仿宋_GB2312" w:cs="仿宋_GB2312"/>
          <w:color w:val="000000"/>
          <w:kern w:val="0"/>
          <w:sz w:val="31"/>
          <w:szCs w:val="31"/>
          <w:lang w:val="en-US" w:eastAsia="zh-CN" w:bidi="ar"/>
        </w:rPr>
        <w:t>1772.60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和公用经费支出</w:t>
      </w:r>
      <w:r>
        <w:rPr>
          <w:rFonts w:hint="eastAsia" w:ascii="仿宋_GB2312" w:hAnsi="仿宋_GB2312" w:eastAsia="仿宋_GB2312" w:cs="仿宋_GB2312"/>
          <w:color w:val="000000"/>
          <w:kern w:val="0"/>
          <w:sz w:val="31"/>
          <w:szCs w:val="31"/>
          <w:lang w:val="en-US" w:eastAsia="zh-CN" w:bidi="ar"/>
        </w:rPr>
        <w:t>161.67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w:t>
      </w:r>
    </w:p>
    <w:p>
      <w:pPr>
        <w:widowControl/>
        <w:spacing w:line="54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1772.6万元</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500.61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209.54万元；奖金232.36万元；机关养老保险缴费120.98万元；职业年金缴费76.96万元；职工医疗保险缴费62.13万元；其他社会保险缴费2.42万元；住房公积金缴费95.42；其他工资福利472.16；抚恤金0.72万元；生活补助8.7万元；医疗补助27.34万元；奖励金450万元。</w:t>
      </w:r>
    </w:p>
    <w:p>
      <w:pPr>
        <w:widowControl/>
        <w:spacing w:line="54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161.67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37.2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印刷费1.76万元；水费2.14万元；电费17.27万元；邮电费1万元；</w:t>
      </w:r>
      <w:r>
        <w:rPr>
          <w:rFonts w:hint="eastAsia" w:ascii="仿宋_GB2312" w:hAnsi="宋体" w:eastAsia="仿宋_GB2312" w:cs="仿宋_GB2312"/>
          <w:color w:val="000000"/>
          <w:kern w:val="0"/>
          <w:sz w:val="32"/>
          <w:szCs w:val="32"/>
          <w:lang w:eastAsia="zh-CN" w:bidi="ar"/>
        </w:rPr>
        <w:t>取暖费</w:t>
      </w:r>
      <w:r>
        <w:rPr>
          <w:rFonts w:hint="eastAsia" w:ascii="仿宋_GB2312" w:hAnsi="宋体" w:eastAsia="仿宋_GB2312" w:cs="仿宋_GB2312"/>
          <w:color w:val="000000"/>
          <w:kern w:val="0"/>
          <w:sz w:val="32"/>
          <w:szCs w:val="32"/>
          <w:lang w:val="en-US" w:eastAsia="zh-CN" w:bidi="ar"/>
        </w:rPr>
        <w:t>0.98万元；差旅费29.55万元；维修费0.03万元；会议费1.38万元；公务接待费2.51万元；委托业务费4.74万元；工会经费17.74万元；公务用车运行维护费5.74万元；其他交通费38.15万元；其他商品和服务支出1.49万元；对个人和家庭的补助0.95万元；生活补助8.7万元；医疗费补助0.23万元。</w:t>
      </w:r>
    </w:p>
    <w:p>
      <w:pPr>
        <w:widowControl/>
        <w:spacing w:line="540" w:lineRule="exact"/>
        <w:ind w:firstLine="420" w:firstLineChars="200"/>
        <w:jc w:val="left"/>
      </w:pP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spacing w:line="540" w:lineRule="exact"/>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2021年“三公”经费财政拨款支出预算为</w:t>
      </w:r>
      <w:r>
        <w:rPr>
          <w:rFonts w:hint="eastAsia" w:ascii="仿宋_GB2312" w:hAnsi="宋体" w:eastAsia="仿宋_GB2312" w:cs="仿宋_GB2312"/>
          <w:color w:val="000000"/>
          <w:kern w:val="0"/>
          <w:sz w:val="32"/>
          <w:szCs w:val="32"/>
          <w:lang w:val="en-US" w:eastAsia="zh-CN" w:bidi="ar"/>
        </w:rPr>
        <w:t>16.5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8.25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50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8.25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压缩三公经费，减少人员支出</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2021年“三公”经费财政拨款支出决算中，因公出国（境）费支出决算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5.74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69.58</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2.51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30.42</w:t>
      </w:r>
      <w:r>
        <w:rPr>
          <w:rFonts w:ascii="仿宋_GB2312" w:hAnsi="宋体" w:eastAsia="仿宋_GB2312" w:cs="仿宋_GB2312"/>
          <w:color w:val="000000"/>
          <w:kern w:val="0"/>
          <w:sz w:val="32"/>
          <w:szCs w:val="32"/>
          <w:lang w:bidi="ar"/>
        </w:rPr>
        <w:t>%。具体情况如下</w:t>
      </w:r>
      <w:r>
        <w:rPr>
          <w:rFonts w:hint="eastAsia" w:ascii="仿宋_GB2312" w:hAnsi="宋体" w:eastAsia="仿宋_GB2312" w:cs="仿宋_GB2312"/>
          <w:color w:val="000000"/>
          <w:kern w:val="0"/>
          <w:sz w:val="32"/>
          <w:szCs w:val="32"/>
          <w:lang w:bidi="ar"/>
        </w:rPr>
        <w:t>：</w:t>
      </w:r>
    </w:p>
    <w:p>
      <w:pPr>
        <w:pStyle w:val="2"/>
        <w:jc w:val="center"/>
      </w:pPr>
      <w:r>
        <w:rPr>
          <w:rFonts w:hint="eastAsia"/>
        </w:rPr>
        <w:drawing>
          <wp:inline distT="0" distB="0" distL="114300" distR="114300">
            <wp:extent cx="4241800" cy="2715260"/>
            <wp:effectExtent l="4445" t="4445" r="2095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hint="eastAsia" w:eastAsia="仿宋_GB2312"/>
          <w:lang w:eastAsia="zh-CN"/>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hint="eastAsia" w:ascii="仿宋_GB2312" w:hAnsi="仿宋_GB2312" w:eastAsia="仿宋_GB2312" w:cs="仿宋_GB2312"/>
          <w:sz w:val="32"/>
          <w:szCs w:val="32"/>
          <w:lang w:eastAsia="zh-CN"/>
        </w:rPr>
        <w:t>。</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5.74</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（如没有支出填0，不要随意删改模板格式）</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54.67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4.76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压缩车辆外出次数</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（如没有支出填0，不要随意删改模板格式）</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41.67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减少接待次数及人次</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1.17</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（如没有支出填0，不要随意删改模板格式）</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11.7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8.83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减少培训次数及人次</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4.83</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（如没有支出填0，不要随意删改模板格式）</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48.3</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5.17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减少会议次数及人次</w:t>
      </w:r>
      <w:r>
        <w:rPr>
          <w:rFonts w:hint="eastAsia" w:ascii="仿宋_GB2312" w:hAnsi="宋体" w:eastAsia="仿宋_GB2312" w:cs="仿宋_GB2312"/>
          <w:color w:val="000000"/>
          <w:kern w:val="0"/>
          <w:sz w:val="32"/>
          <w:szCs w:val="32"/>
          <w:lang w:bidi="ar"/>
        </w:rPr>
        <w:t>。</w:t>
      </w: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年政府性基金预算财政拨款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本年收入</w:t>
      </w:r>
      <w:r>
        <w:rPr>
          <w:rFonts w:hint="eastAsia" w:ascii="仿宋_GB2312" w:hAnsi="仿宋_GB2312" w:eastAsia="仿宋_GB2312" w:cs="仿宋_GB2312"/>
          <w:sz w:val="32"/>
          <w:szCs w:val="32"/>
          <w:lang w:val="en-US" w:eastAsia="zh-CN"/>
        </w:rPr>
        <w:t>36732.04</w:t>
      </w:r>
      <w:r>
        <w:rPr>
          <w:rFonts w:hint="eastAsia" w:ascii="仿宋_GB2312" w:hAnsi="仿宋_GB2312" w:eastAsia="仿宋_GB2312" w:cs="仿宋_GB2312"/>
          <w:sz w:val="32"/>
          <w:szCs w:val="32"/>
        </w:rPr>
        <w:t>万元，本年支出</w:t>
      </w:r>
      <w:r>
        <w:rPr>
          <w:rFonts w:hint="eastAsia" w:ascii="仿宋_GB2312" w:hAnsi="仿宋_GB2312" w:eastAsia="仿宋_GB2312" w:cs="仿宋_GB2312"/>
          <w:sz w:val="32"/>
          <w:szCs w:val="32"/>
          <w:lang w:val="en-US" w:eastAsia="zh-CN"/>
        </w:rPr>
        <w:t>36732.04</w:t>
      </w:r>
      <w:r>
        <w:rPr>
          <w:rFonts w:hint="eastAsia" w:ascii="仿宋_GB2312" w:hAnsi="仿宋_GB2312" w:eastAsia="仿宋_GB2312" w:cs="仿宋_GB2312"/>
          <w:sz w:val="32"/>
          <w:szCs w:val="32"/>
        </w:rPr>
        <w:t>万元。</w:t>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spacing w:line="540" w:lineRule="exact"/>
        <w:ind w:firstLine="1609" w:firstLineChars="5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40" w:lineRule="exact"/>
        <w:ind w:firstLine="64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w:t>
      </w:r>
      <w:r>
        <w:rPr>
          <w:rFonts w:ascii="黑体" w:hAnsi="黑体" w:eastAsia="黑体"/>
          <w:color w:val="000000"/>
          <w:kern w:val="0"/>
          <w:sz w:val="32"/>
          <w:szCs w:val="32"/>
          <w:lang w:bidi="ar"/>
        </w:rPr>
        <w:t>机关运行经费支出情况</w:t>
      </w:r>
      <w:r>
        <w:rPr>
          <w:rFonts w:hint="eastAsia" w:ascii="黑体" w:hAnsi="黑体" w:eastAsia="黑体"/>
          <w:color w:val="000000"/>
          <w:kern w:val="0"/>
          <w:sz w:val="32"/>
          <w:szCs w:val="32"/>
          <w:lang w:bidi="ar"/>
        </w:rPr>
        <w:t>说明</w:t>
      </w:r>
      <w:r>
        <w:rPr>
          <w:rFonts w:ascii="黑体" w:hAnsi="黑体" w:eastAsia="黑体"/>
          <w:color w:val="000000"/>
          <w:kern w:val="0"/>
          <w:sz w:val="32"/>
          <w:szCs w:val="32"/>
          <w:lang w:bidi="ar"/>
        </w:rPr>
        <w:t xml:space="preserve"> </w:t>
      </w:r>
    </w:p>
    <w:p>
      <w:pPr>
        <w:widowControl/>
        <w:spacing w:line="540" w:lineRule="exact"/>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2021年机关运行经费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195.36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161.67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82.75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33.69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压缩机关运行费用，减少支出</w:t>
      </w:r>
      <w:r>
        <w:rPr>
          <w:rFonts w:hint="eastAsia" w:ascii="仿宋_GB2312" w:hAnsi="宋体" w:eastAsia="仿宋_GB2312" w:cs="仿宋_GB2312"/>
          <w:color w:val="000000"/>
          <w:kern w:val="0"/>
          <w:sz w:val="32"/>
          <w:szCs w:val="32"/>
          <w:lang w:bidi="ar"/>
        </w:rPr>
        <w:t>。</w:t>
      </w:r>
    </w:p>
    <w:p>
      <w:pPr>
        <w:widowControl/>
        <w:spacing w:line="540" w:lineRule="exact"/>
        <w:ind w:firstLine="640" w:firstLineChars="200"/>
        <w:jc w:val="left"/>
        <w:rPr>
          <w:rFonts w:ascii="楷体_GB2312" w:hAnsi="宋体" w:eastAsia="楷体_GB2312" w:cs="楷体_GB2312"/>
          <w:b/>
          <w:color w:val="000000"/>
          <w:kern w:val="0"/>
          <w:sz w:val="32"/>
          <w:szCs w:val="32"/>
          <w:lang w:bidi="ar"/>
        </w:rPr>
      </w:pPr>
      <w:r>
        <w:rPr>
          <w:rFonts w:hint="eastAsia" w:ascii="黑体" w:hAnsi="黑体" w:eastAsia="黑体"/>
          <w:color w:val="000000"/>
          <w:kern w:val="0"/>
          <w:sz w:val="32"/>
          <w:szCs w:val="32"/>
          <w:lang w:bidi="ar"/>
        </w:rPr>
        <w:t>十一、政府采购支出情况说明</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4110.32</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24.05</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2303.95</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1782.32</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4110.32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4087.16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，占政府采购支出总额的</w:t>
      </w:r>
      <w:r>
        <w:rPr>
          <w:rFonts w:hint="eastAsia" w:ascii="仿宋_GB2312" w:hAnsi="宋体" w:eastAsia="仿宋_GB2312" w:cs="仿宋_GB2312"/>
          <w:color w:val="000000"/>
          <w:kern w:val="0"/>
          <w:sz w:val="32"/>
          <w:szCs w:val="32"/>
          <w:lang w:val="en-US" w:eastAsia="zh-CN" w:bidi="ar"/>
        </w:rPr>
        <w:t>99.44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十二、国有资产占用及购置情况说明</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十三、预算绩效情况说明</w:t>
      </w:r>
    </w:p>
    <w:p>
      <w:pPr>
        <w:widowControl/>
        <w:spacing w:line="540" w:lineRule="exact"/>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w:t>
      </w:r>
      <w:r>
        <w:rPr>
          <w:rFonts w:ascii="仿宋_GB2312" w:hAnsi="仿宋_GB2312" w:eastAsia="仿宋_GB2312" w:cs="仿宋_GB2312"/>
          <w:sz w:val="32"/>
          <w:szCs w:val="32"/>
        </w:rPr>
        <w:t>21年一般公共预算项目支出全面开展绩效自评，其中，一级项目</w:t>
      </w:r>
      <w:r>
        <w:rPr>
          <w:rFonts w:hint="eastAsia" w:ascii="仿宋_GB2312" w:hAnsi="仿宋_GB2312" w:eastAsia="仿宋_GB2312" w:cs="仿宋_GB2312"/>
          <w:sz w:val="32"/>
          <w:szCs w:val="32"/>
          <w:lang w:val="en-US" w:eastAsia="zh-CN"/>
        </w:rPr>
        <w:t>51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6982.27</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27.5</w:t>
      </w:r>
      <w:r>
        <w:rPr>
          <w:rFonts w:ascii="仿宋_GB2312" w:hAnsi="仿宋_GB2312" w:eastAsia="仿宋_GB2312" w:cs="仿宋_GB2312"/>
          <w:sz w:val="32"/>
          <w:szCs w:val="32"/>
        </w:rPr>
        <w:t>%。</w:t>
      </w:r>
    </w:p>
    <w:p>
      <w:pPr>
        <w:widowControl/>
        <w:spacing w:line="540" w:lineRule="exact"/>
        <w:ind w:firstLine="620" w:firstLineChars="200"/>
        <w:jc w:val="left"/>
      </w:pPr>
      <w:r>
        <w:rPr>
          <w:rFonts w:ascii="仿宋_GB2312" w:hAnsi="仿宋_GB2312" w:eastAsia="仿宋_GB2312" w:cs="仿宋_GB2312"/>
          <w:color w:val="000000"/>
          <w:kern w:val="0"/>
          <w:sz w:val="31"/>
          <w:szCs w:val="31"/>
          <w:lang w:bidi="ar"/>
        </w:rPr>
        <w:t>组织对 2021年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sz w:val="32"/>
          <w:szCs w:val="32"/>
        </w:rPr>
        <w:t>（如不涉及</w:t>
      </w:r>
      <w:r>
        <w:rPr>
          <w:rFonts w:ascii="仿宋_GB2312" w:hAnsi="仿宋_GB2312" w:eastAsia="仿宋_GB2312" w:cs="仿宋_GB2312"/>
          <w:color w:val="000000"/>
          <w:kern w:val="0"/>
          <w:sz w:val="31"/>
          <w:szCs w:val="31"/>
          <w:lang w:bidi="ar"/>
        </w:rPr>
        <w:t>政府性基金预算项目</w:t>
      </w:r>
      <w:r>
        <w:rPr>
          <w:rFonts w:hint="eastAsia" w:ascii="仿宋_GB2312" w:hAnsi="仿宋_GB2312" w:eastAsia="仿宋_GB2312" w:cs="仿宋_GB2312"/>
          <w:sz w:val="32"/>
          <w:szCs w:val="32"/>
        </w:rPr>
        <w:t>，文字说明“本部门无政府性基金预算项目”）。</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numPr>
          <w:numId w:val="0"/>
        </w:numPr>
        <w:spacing w:line="540" w:lineRule="exact"/>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bidi="ar"/>
        </w:rPr>
        <w:t>办公楼网络设备维护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bookmarkStart w:id="0" w:name="_GoBack"/>
      <w:bookmarkEnd w:id="0"/>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bidi="ar"/>
        </w:rPr>
        <w:t>保障机关业务正常开展。</w:t>
      </w:r>
    </w:p>
    <w:p>
      <w:pPr>
        <w:widowControl/>
        <w:numPr>
          <w:ilvl w:val="0"/>
          <w:numId w:val="0"/>
        </w:numPr>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bidi="ar"/>
        </w:rPr>
        <w:t>财政局财政国库业务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12</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12</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政资金安全规范。</w:t>
      </w:r>
    </w:p>
    <w:p>
      <w:pPr>
        <w:widowControl/>
        <w:spacing w:line="540" w:lineRule="exact"/>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bidi="ar"/>
        </w:rPr>
        <w:t>3. 财政局财政委托业务费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提高资金使用率</w:t>
      </w:r>
      <w:r>
        <w:rPr>
          <w:rFonts w:hint="eastAsia" w:ascii="仿宋_GB2312" w:hAnsi="仿宋_GB2312" w:eastAsia="仿宋_GB2312" w:cs="仿宋_GB2312"/>
          <w:color w:val="000000"/>
          <w:kern w:val="0"/>
          <w:sz w:val="31"/>
          <w:szCs w:val="31"/>
          <w:lang w:val="en-US" w:eastAsia="zh-CN" w:bidi="ar"/>
        </w:rPr>
        <w:t>.</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 财政局财政云推广应用项目</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保障工作开展。</w:t>
      </w:r>
    </w:p>
    <w:p>
      <w:pPr>
        <w:widowControl/>
        <w:spacing w:line="540" w:lineRule="exact"/>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 财政局网络运行维护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确保日常办公。</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.财政局项目资金争取业务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bidi="ar"/>
        </w:rPr>
        <w:t>.城管局环卫业务费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bidi="ar"/>
        </w:rPr>
        <w:t>改善环境。</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8</w:t>
      </w:r>
      <w:r>
        <w:rPr>
          <w:rFonts w:hint="eastAsia" w:ascii="仿宋_GB2312" w:hAnsi="仿宋_GB2312" w:eastAsia="仿宋_GB2312" w:cs="仿宋_GB2312"/>
          <w:color w:val="000000"/>
          <w:kern w:val="0"/>
          <w:sz w:val="31"/>
          <w:szCs w:val="31"/>
          <w:lang w:bidi="ar"/>
        </w:rPr>
        <w:t>. 城管局垃圾填埋场处理业务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改善环境</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9</w:t>
      </w:r>
      <w:r>
        <w:rPr>
          <w:rFonts w:hint="eastAsia" w:ascii="仿宋_GB2312" w:hAnsi="仿宋_GB2312" w:eastAsia="仿宋_GB2312" w:cs="仿宋_GB2312"/>
          <w:color w:val="000000"/>
          <w:kern w:val="0"/>
          <w:sz w:val="31"/>
          <w:szCs w:val="31"/>
          <w:lang w:bidi="ar"/>
        </w:rPr>
        <w:t>. 城管局绿化管护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环境保护</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 城管局区内公厕维护费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，执行数</w:t>
      </w:r>
      <w:r>
        <w:rPr>
          <w:rFonts w:hint="eastAsia" w:ascii="仿宋_GB2312" w:hAnsi="仿宋_GB2312" w:eastAsia="仿宋_GB2312" w:cs="仿宋_GB2312"/>
          <w:color w:val="000000"/>
          <w:kern w:val="0"/>
          <w:sz w:val="31"/>
          <w:szCs w:val="31"/>
          <w:lang w:val="en-US" w:eastAsia="zh-CN" w:bidi="ar"/>
        </w:rPr>
        <w:t>25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改善环境</w:t>
      </w:r>
    </w:p>
    <w:p>
      <w:pPr>
        <w:widowControl/>
        <w:spacing w:line="540" w:lineRule="exact"/>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w:t>
      </w:r>
      <w:r>
        <w:rPr>
          <w:rFonts w:hint="eastAsia" w:ascii="仿宋_GB2312" w:hAnsi="仿宋_GB2312" w:eastAsia="仿宋_GB2312" w:cs="仿宋_GB2312"/>
          <w:color w:val="000000"/>
          <w:kern w:val="0"/>
          <w:sz w:val="31"/>
          <w:szCs w:val="31"/>
          <w:lang w:bidi="ar"/>
        </w:rPr>
        <w:t>. 城管局区内环境卫生整治费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50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保护生态环境</w:t>
      </w:r>
      <w:r>
        <w:rPr>
          <w:rFonts w:hint="eastAsia" w:ascii="仿宋_GB2312" w:hAnsi="仿宋_GB2312" w:eastAsia="仿宋_GB2312" w:cs="仿宋_GB2312"/>
          <w:color w:val="000000"/>
          <w:kern w:val="0"/>
          <w:sz w:val="31"/>
          <w:szCs w:val="31"/>
          <w:lang w:val="en-US" w:eastAsia="zh-CN" w:bidi="ar"/>
        </w:rPr>
        <w:t>.</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bidi="ar"/>
        </w:rPr>
        <w:t>2. 城管局陕汽商用车基地污水清污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90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90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改善投资环境。</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13</w:t>
      </w:r>
      <w:r>
        <w:rPr>
          <w:rFonts w:hint="eastAsia" w:ascii="仿宋_GB2312" w:hAnsi="仿宋_GB2312" w:eastAsia="仿宋_GB2312" w:cs="仿宋_GB2312"/>
          <w:color w:val="000000"/>
          <w:kern w:val="0"/>
          <w:sz w:val="31"/>
          <w:szCs w:val="31"/>
          <w:lang w:bidi="ar"/>
        </w:rPr>
        <w:t>. 城管局项目资金争取业务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14</w:t>
      </w:r>
      <w:r>
        <w:rPr>
          <w:rFonts w:hint="eastAsia" w:ascii="仿宋_GB2312" w:hAnsi="仿宋_GB2312" w:eastAsia="仿宋_GB2312" w:cs="仿宋_GB2312"/>
          <w:color w:val="000000"/>
          <w:kern w:val="0"/>
          <w:sz w:val="31"/>
          <w:szCs w:val="31"/>
          <w:lang w:bidi="ar"/>
        </w:rPr>
        <w:t>. 城管局重大节日氛围营造费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提升城市形象。</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15</w:t>
      </w:r>
      <w:r>
        <w:rPr>
          <w:rFonts w:hint="eastAsia" w:ascii="仿宋_GB2312" w:hAnsi="仿宋_GB2312" w:eastAsia="仿宋_GB2312" w:cs="仿宋_GB2312"/>
          <w:color w:val="000000"/>
          <w:kern w:val="0"/>
          <w:sz w:val="31"/>
          <w:szCs w:val="31"/>
          <w:lang w:bidi="ar"/>
        </w:rPr>
        <w:t>. 城区环卫委托业务费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988</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988</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生态环境建设。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16</w:t>
      </w:r>
      <w:r>
        <w:rPr>
          <w:rFonts w:hint="eastAsia" w:ascii="仿宋_GB2312" w:hAnsi="仿宋_GB2312" w:eastAsia="仿宋_GB2312" w:cs="仿宋_GB2312"/>
          <w:color w:val="000000"/>
          <w:kern w:val="0"/>
          <w:sz w:val="31"/>
          <w:szCs w:val="31"/>
          <w:lang w:bidi="ar"/>
        </w:rPr>
        <w:t>. 干部周转房租赁费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28</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28</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保障干部正常办公生活</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17</w:t>
      </w:r>
      <w:r>
        <w:rPr>
          <w:rFonts w:hint="eastAsia" w:ascii="仿宋_GB2312" w:hAnsi="仿宋_GB2312" w:eastAsia="仿宋_GB2312" w:cs="仿宋_GB2312"/>
          <w:color w:val="000000"/>
          <w:kern w:val="0"/>
          <w:sz w:val="31"/>
          <w:szCs w:val="31"/>
          <w:lang w:bidi="ar"/>
        </w:rPr>
        <w:t>. 公安分局运行补助费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保障工作正常开展。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18</w:t>
      </w:r>
      <w:r>
        <w:rPr>
          <w:rFonts w:hint="eastAsia" w:ascii="仿宋_GB2312" w:hAnsi="仿宋_GB2312" w:eastAsia="仿宋_GB2312" w:cs="仿宋_GB2312"/>
          <w:color w:val="000000"/>
          <w:kern w:val="0"/>
          <w:sz w:val="31"/>
          <w:szCs w:val="31"/>
          <w:lang w:bidi="ar"/>
        </w:rPr>
        <w:t>. 国土分局绿化和道路租地费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环境保护。</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19</w:t>
      </w:r>
      <w:r>
        <w:rPr>
          <w:rFonts w:hint="eastAsia" w:ascii="仿宋_GB2312" w:hAnsi="仿宋_GB2312" w:eastAsia="仿宋_GB2312" w:cs="仿宋_GB2312"/>
          <w:color w:val="000000"/>
          <w:kern w:val="0"/>
          <w:sz w:val="31"/>
          <w:szCs w:val="31"/>
          <w:lang w:bidi="ar"/>
        </w:rPr>
        <w:t>. 国土分局土地利用总体规划调整完善</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 国土分局项目资金争取</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bidi="ar"/>
        </w:rPr>
        <w:t>.机关安保卫生服务费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45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项目周期。</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bidi="ar"/>
        </w:rPr>
        <w:t>. 机关党建业务费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促进机关党建工作。</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 机关公用设施维修改造</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75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75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保障机关正常运转。</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 纪检办纪检监察“三化”建设业务费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廉政建设。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 纪检办纪检监察业务费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加强廉政建设。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 纪检办项目资金争取业务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廉政建设。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7</w:t>
      </w:r>
      <w:r>
        <w:rPr>
          <w:rFonts w:hint="eastAsia" w:ascii="仿宋_GB2312" w:hAnsi="仿宋_GB2312" w:eastAsia="仿宋_GB2312" w:cs="仿宋_GB2312"/>
          <w:color w:val="000000"/>
          <w:kern w:val="0"/>
          <w:sz w:val="31"/>
          <w:szCs w:val="31"/>
          <w:lang w:bidi="ar"/>
        </w:rPr>
        <w:t>. 建设局拆迁户补助费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237.6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237.6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8</w:t>
      </w:r>
      <w:r>
        <w:rPr>
          <w:rFonts w:hint="eastAsia" w:ascii="仿宋_GB2312" w:hAnsi="仿宋_GB2312" w:eastAsia="仿宋_GB2312" w:cs="仿宋_GB2312"/>
          <w:color w:val="000000"/>
          <w:kern w:val="0"/>
          <w:sz w:val="31"/>
          <w:szCs w:val="31"/>
          <w:lang w:bidi="ar"/>
        </w:rPr>
        <w:t>. 建设局工程项目前期费用</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促进项目实施。</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w:t>
      </w:r>
      <w:r>
        <w:rPr>
          <w:rFonts w:hint="eastAsia" w:ascii="仿宋_GB2312" w:hAnsi="仿宋_GB2312" w:eastAsia="仿宋_GB2312" w:cs="仿宋_GB2312"/>
          <w:color w:val="000000"/>
          <w:kern w:val="0"/>
          <w:sz w:val="31"/>
          <w:szCs w:val="31"/>
          <w:lang w:val="en-US" w:eastAsia="zh-CN" w:bidi="ar"/>
        </w:rPr>
        <w:t>9</w:t>
      </w:r>
      <w:r>
        <w:rPr>
          <w:rFonts w:hint="eastAsia" w:ascii="仿宋_GB2312" w:hAnsi="仿宋_GB2312" w:eastAsia="仿宋_GB2312" w:cs="仿宋_GB2312"/>
          <w:color w:val="000000"/>
          <w:kern w:val="0"/>
          <w:sz w:val="31"/>
          <w:szCs w:val="31"/>
          <w:lang w:bidi="ar"/>
        </w:rPr>
        <w:t>.建设局建成道路征租地</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 建设局路灯材料维修采购费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完善基础设施建设。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31.</w:t>
      </w:r>
      <w:r>
        <w:rPr>
          <w:rFonts w:hint="eastAsia" w:ascii="仿宋_GB2312" w:hAnsi="仿宋_GB2312" w:eastAsia="仿宋_GB2312" w:cs="仿宋_GB2312"/>
          <w:color w:val="000000"/>
          <w:kern w:val="0"/>
          <w:sz w:val="31"/>
          <w:szCs w:val="31"/>
          <w:lang w:bidi="ar"/>
        </w:rPr>
        <w:t>建设局区内零星市政设施维护</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80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80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完善基础设施建设。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32.</w:t>
      </w:r>
      <w:r>
        <w:rPr>
          <w:rFonts w:hint="eastAsia" w:ascii="仿宋_GB2312" w:hAnsi="仿宋_GB2312" w:eastAsia="仿宋_GB2312" w:cs="仿宋_GB2312"/>
          <w:color w:val="000000"/>
          <w:kern w:val="0"/>
          <w:sz w:val="31"/>
          <w:szCs w:val="31"/>
          <w:lang w:bidi="ar"/>
        </w:rPr>
        <w:t>建设局区内路灯电费及维护费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1600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，执行数</w:t>
      </w:r>
      <w:r>
        <w:rPr>
          <w:rFonts w:hint="eastAsia" w:ascii="仿宋_GB2312" w:hAnsi="仿宋_GB2312" w:eastAsia="仿宋_GB2312" w:cs="仿宋_GB2312"/>
          <w:color w:val="000000"/>
          <w:kern w:val="0"/>
          <w:sz w:val="31"/>
          <w:szCs w:val="31"/>
          <w:lang w:val="en-US" w:eastAsia="zh-CN" w:bidi="ar"/>
        </w:rPr>
        <w:t>160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完善基础设施建设。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33.</w:t>
      </w:r>
      <w:r>
        <w:rPr>
          <w:rFonts w:hint="eastAsia" w:ascii="仿宋_GB2312" w:hAnsi="仿宋_GB2312" w:eastAsia="仿宋_GB2312" w:cs="仿宋_GB2312"/>
          <w:color w:val="000000"/>
          <w:kern w:val="0"/>
          <w:sz w:val="31"/>
          <w:szCs w:val="31"/>
          <w:lang w:bidi="ar"/>
        </w:rPr>
        <w:t>建设局陕汽专用线铁路道口维护费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3.2</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3.2</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34.</w:t>
      </w:r>
      <w:r>
        <w:rPr>
          <w:rFonts w:hint="eastAsia" w:ascii="仿宋_GB2312" w:hAnsi="仿宋_GB2312" w:eastAsia="仿宋_GB2312" w:cs="仿宋_GB2312"/>
          <w:color w:val="000000"/>
          <w:kern w:val="0"/>
          <w:sz w:val="31"/>
          <w:szCs w:val="31"/>
          <w:lang w:bidi="ar"/>
        </w:rPr>
        <w:t>建设局污泥处理费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743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743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促进环保工作。</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35.</w:t>
      </w:r>
      <w:r>
        <w:rPr>
          <w:rFonts w:hint="eastAsia" w:ascii="仿宋_GB2312" w:hAnsi="仿宋_GB2312" w:eastAsia="仿宋_GB2312" w:cs="仿宋_GB2312"/>
          <w:color w:val="000000"/>
          <w:kern w:val="0"/>
          <w:sz w:val="31"/>
          <w:szCs w:val="31"/>
          <w:lang w:bidi="ar"/>
        </w:rPr>
        <w:t>建设局污水处理费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1400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1400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生态环境保护。</w:t>
      </w:r>
    </w:p>
    <w:p>
      <w:pPr>
        <w:widowControl/>
        <w:spacing w:line="540" w:lineRule="exact"/>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36.</w:t>
      </w:r>
      <w:r>
        <w:rPr>
          <w:rFonts w:hint="eastAsia" w:ascii="仿宋_GB2312" w:hAnsi="仿宋_GB2312" w:eastAsia="仿宋_GB2312" w:cs="仿宋_GB2312"/>
          <w:color w:val="000000"/>
          <w:kern w:val="0"/>
          <w:sz w:val="31"/>
          <w:szCs w:val="31"/>
          <w:lang w:bidi="ar"/>
        </w:rPr>
        <w:t>建设局项目资金争取业务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r>
        <w:rPr>
          <w:rFonts w:hint="eastAsia" w:ascii="仿宋_GB2312" w:hAnsi="仿宋_GB2312" w:eastAsia="仿宋_GB2312" w:cs="仿宋_GB2312"/>
          <w:color w:val="000000"/>
          <w:kern w:val="0"/>
          <w:sz w:val="31"/>
          <w:szCs w:val="31"/>
          <w:lang w:val="en-US" w:eastAsia="zh-CN" w:bidi="ar"/>
        </w:rPr>
        <w:t xml:space="preserve">. </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37.</w:t>
      </w:r>
      <w:r>
        <w:rPr>
          <w:rFonts w:hint="eastAsia" w:ascii="仿宋_GB2312" w:hAnsi="仿宋_GB2312" w:eastAsia="仿宋_GB2312" w:cs="仿宋_GB2312"/>
          <w:color w:val="000000"/>
          <w:kern w:val="0"/>
          <w:sz w:val="31"/>
          <w:szCs w:val="31"/>
          <w:lang w:bidi="ar"/>
        </w:rPr>
        <w:t>经规局“十四五”规划及补短板方案编制费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38.</w:t>
      </w:r>
      <w:r>
        <w:rPr>
          <w:rFonts w:hint="eastAsia" w:ascii="仿宋_GB2312" w:hAnsi="仿宋_GB2312" w:eastAsia="仿宋_GB2312" w:cs="仿宋_GB2312"/>
          <w:color w:val="000000"/>
          <w:kern w:val="0"/>
          <w:sz w:val="31"/>
          <w:szCs w:val="31"/>
          <w:lang w:bidi="ar"/>
        </w:rPr>
        <w:t>经规局项目编制费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促经济及发展。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39.</w:t>
      </w:r>
      <w:r>
        <w:rPr>
          <w:rFonts w:hint="eastAsia" w:ascii="仿宋_GB2312" w:hAnsi="仿宋_GB2312" w:eastAsia="仿宋_GB2312" w:cs="仿宋_GB2312"/>
          <w:color w:val="000000"/>
          <w:kern w:val="0"/>
          <w:sz w:val="31"/>
          <w:szCs w:val="31"/>
          <w:lang w:bidi="ar"/>
        </w:rPr>
        <w:t>经规局项目审计费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40.</w:t>
      </w:r>
      <w:r>
        <w:rPr>
          <w:rFonts w:hint="eastAsia" w:ascii="仿宋_GB2312" w:hAnsi="仿宋_GB2312" w:eastAsia="仿宋_GB2312" w:cs="仿宋_GB2312"/>
          <w:color w:val="000000"/>
          <w:kern w:val="0"/>
          <w:sz w:val="31"/>
          <w:szCs w:val="31"/>
          <w:lang w:bidi="ar"/>
        </w:rPr>
        <w:t>经规局项目资金争取业务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6</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41.</w:t>
      </w:r>
      <w:r>
        <w:rPr>
          <w:rFonts w:hint="eastAsia" w:ascii="仿宋_GB2312" w:hAnsi="仿宋_GB2312" w:eastAsia="仿宋_GB2312" w:cs="仿宋_GB2312"/>
          <w:color w:val="000000"/>
          <w:kern w:val="0"/>
          <w:sz w:val="31"/>
          <w:szCs w:val="31"/>
          <w:lang w:bidi="ar"/>
        </w:rPr>
        <w:t>委托业务费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9</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9</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提升依法行政能力。</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42.</w:t>
      </w:r>
      <w:r>
        <w:rPr>
          <w:rFonts w:hint="eastAsia" w:ascii="仿宋_GB2312" w:hAnsi="仿宋_GB2312" w:eastAsia="仿宋_GB2312" w:cs="仿宋_GB2312"/>
          <w:color w:val="000000"/>
          <w:kern w:val="0"/>
          <w:sz w:val="31"/>
          <w:szCs w:val="31"/>
          <w:lang w:bidi="ar"/>
        </w:rPr>
        <w:t>疫情防控业务费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保障机关正常运转。</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43.</w:t>
      </w:r>
      <w:r>
        <w:rPr>
          <w:rFonts w:hint="eastAsia" w:ascii="仿宋_GB2312" w:hAnsi="仿宋_GB2312" w:eastAsia="仿宋_GB2312" w:cs="仿宋_GB2312"/>
          <w:color w:val="000000"/>
          <w:kern w:val="0"/>
          <w:sz w:val="31"/>
          <w:szCs w:val="31"/>
          <w:lang w:bidi="ar"/>
        </w:rPr>
        <w:t>招商局招商引资业务费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60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44.</w:t>
      </w:r>
      <w:r>
        <w:rPr>
          <w:rFonts w:hint="eastAsia" w:ascii="仿宋_GB2312" w:hAnsi="仿宋_GB2312" w:eastAsia="仿宋_GB2312" w:cs="仿宋_GB2312"/>
          <w:color w:val="000000"/>
          <w:kern w:val="0"/>
          <w:sz w:val="31"/>
          <w:szCs w:val="31"/>
          <w:lang w:bidi="ar"/>
        </w:rPr>
        <w:t>招商引资业务费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10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支付周期。</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45.</w:t>
      </w:r>
      <w:r>
        <w:rPr>
          <w:rFonts w:hint="eastAsia" w:ascii="仿宋_GB2312" w:hAnsi="仿宋_GB2312" w:eastAsia="仿宋_GB2312" w:cs="仿宋_GB2312"/>
          <w:color w:val="000000"/>
          <w:kern w:val="0"/>
          <w:sz w:val="31"/>
          <w:szCs w:val="31"/>
          <w:lang w:bidi="ar"/>
        </w:rPr>
        <w:t>重大活动业务费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促进经济社会高质量发展。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46.</w:t>
      </w:r>
      <w:r>
        <w:rPr>
          <w:rFonts w:hint="eastAsia" w:ascii="仿宋_GB2312" w:hAnsi="仿宋_GB2312" w:eastAsia="仿宋_GB2312" w:cs="仿宋_GB2312"/>
          <w:color w:val="000000"/>
          <w:kern w:val="0"/>
          <w:sz w:val="31"/>
          <w:szCs w:val="31"/>
          <w:lang w:bidi="ar"/>
        </w:rPr>
        <w:t>专项宣传费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，执行数</w:t>
      </w:r>
      <w:r>
        <w:rPr>
          <w:rFonts w:hint="eastAsia" w:ascii="仿宋_GB2312" w:hAnsi="仿宋_GB2312" w:eastAsia="仿宋_GB2312" w:cs="仿宋_GB2312"/>
          <w:color w:val="000000"/>
          <w:kern w:val="0"/>
          <w:sz w:val="31"/>
          <w:szCs w:val="31"/>
          <w:lang w:val="en-US" w:eastAsia="zh-CN" w:bidi="ar"/>
        </w:rPr>
        <w:t>100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优化营商环境。</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47.</w:t>
      </w:r>
      <w:r>
        <w:rPr>
          <w:rFonts w:hint="eastAsia" w:ascii="仿宋_GB2312" w:hAnsi="仿宋_GB2312" w:eastAsia="仿宋_GB2312" w:cs="仿宋_GB2312"/>
          <w:color w:val="000000"/>
          <w:kern w:val="0"/>
          <w:sz w:val="31"/>
          <w:szCs w:val="31"/>
          <w:lang w:bidi="ar"/>
        </w:rPr>
        <w:t>组织人才办非公党建业务费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，执行数</w:t>
      </w:r>
      <w:r>
        <w:rPr>
          <w:rFonts w:hint="eastAsia" w:ascii="仿宋_GB2312" w:hAnsi="仿宋_GB2312" w:eastAsia="仿宋_GB2312" w:cs="仿宋_GB2312"/>
          <w:color w:val="000000"/>
          <w:kern w:val="0"/>
          <w:sz w:val="31"/>
          <w:szCs w:val="31"/>
          <w:lang w:val="en-US" w:eastAsia="zh-CN" w:bidi="ar"/>
        </w:rPr>
        <w:t>30</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促进精神文明建设。</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48.</w:t>
      </w:r>
      <w:r>
        <w:rPr>
          <w:rFonts w:hint="eastAsia" w:ascii="仿宋_GB2312" w:hAnsi="仿宋_GB2312" w:eastAsia="仿宋_GB2312" w:cs="仿宋_GB2312"/>
          <w:color w:val="000000"/>
          <w:kern w:val="0"/>
          <w:sz w:val="31"/>
          <w:szCs w:val="31"/>
          <w:lang w:bidi="ar"/>
        </w:rPr>
        <w:t>组织人才办干部培训业务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8.5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8.5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干部工作能力。</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49.</w:t>
      </w:r>
      <w:r>
        <w:rPr>
          <w:rFonts w:hint="eastAsia" w:ascii="仿宋_GB2312" w:hAnsi="仿宋_GB2312" w:eastAsia="仿宋_GB2312" w:cs="仿宋_GB2312"/>
          <w:color w:val="000000"/>
          <w:kern w:val="0"/>
          <w:sz w:val="31"/>
          <w:szCs w:val="31"/>
          <w:lang w:bidi="ar"/>
        </w:rPr>
        <w:t>组织人才办农民工专项业务费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5</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50.</w:t>
      </w:r>
      <w:r>
        <w:rPr>
          <w:rFonts w:hint="eastAsia" w:ascii="仿宋_GB2312" w:hAnsi="仿宋_GB2312" w:eastAsia="仿宋_GB2312" w:cs="仿宋_GB2312"/>
          <w:color w:val="000000"/>
          <w:kern w:val="0"/>
          <w:sz w:val="31"/>
          <w:szCs w:val="31"/>
          <w:lang w:bidi="ar"/>
        </w:rPr>
        <w:t>组织人才办人才工作专项费用</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51.</w:t>
      </w:r>
      <w:r>
        <w:rPr>
          <w:rFonts w:hint="eastAsia" w:ascii="仿宋_GB2312" w:hAnsi="仿宋_GB2312" w:eastAsia="仿宋_GB2312" w:cs="仿宋_GB2312"/>
          <w:color w:val="000000"/>
          <w:kern w:val="0"/>
          <w:sz w:val="31"/>
          <w:szCs w:val="31"/>
          <w:lang w:bidi="ar"/>
        </w:rPr>
        <w:t>组织人才办项目资金争取业务</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 xml:space="preserve">，执行数 </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bidi="ar"/>
        </w:rPr>
        <w:t>促进经济发展。</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w:t>
      </w:r>
      <w:r>
        <w:rPr>
          <w:rFonts w:ascii="楷体_GB2312" w:hAnsi="宋体" w:eastAsia="楷体_GB2312" w:cs="楷体_GB2312"/>
          <w:b/>
          <w:color w:val="000000"/>
          <w:kern w:val="0"/>
          <w:sz w:val="32"/>
          <w:szCs w:val="32"/>
          <w:lang w:bidi="ar"/>
        </w:rPr>
        <w:t>部门决算</w:t>
      </w:r>
      <w:r>
        <w:rPr>
          <w:rFonts w:hint="eastAsia" w:ascii="楷体_GB2312" w:hAnsi="宋体" w:eastAsia="楷体_GB2312" w:cs="楷体_GB2312"/>
          <w:b/>
          <w:color w:val="000000"/>
          <w:kern w:val="0"/>
          <w:sz w:val="32"/>
          <w:szCs w:val="32"/>
          <w:lang w:bidi="ar"/>
        </w:rPr>
        <w:t>整体</w:t>
      </w:r>
      <w:r>
        <w:rPr>
          <w:rFonts w:ascii="楷体_GB2312" w:hAnsi="宋体" w:eastAsia="楷体_GB2312" w:cs="楷体_GB2312"/>
          <w:b/>
          <w:color w:val="000000"/>
          <w:kern w:val="0"/>
          <w:sz w:val="32"/>
          <w:szCs w:val="32"/>
          <w:lang w:bidi="ar"/>
        </w:rPr>
        <w:t>绩效自评结果</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eastAsia="仿宋_GB2312" w:cs="??_GB2312"/>
          <w:color w:val="000000"/>
          <w:kern w:val="0"/>
          <w:sz w:val="32"/>
          <w:szCs w:val="32"/>
        </w:rPr>
        <w:t>与年初预算绩效目标表对应，对本部门全年决算整体绩效自评，包含本部门基本和项目决算共计</w:t>
      </w:r>
      <w:r>
        <w:rPr>
          <w:rFonts w:hint="eastAsia" w:ascii="仿宋_GB2312" w:eastAsia="仿宋_GB2312" w:cs="??_GB2312"/>
          <w:color w:val="000000"/>
          <w:kern w:val="0"/>
          <w:sz w:val="32"/>
          <w:szCs w:val="32"/>
          <w:lang w:val="en-US" w:eastAsia="zh-CN"/>
        </w:rPr>
        <w:t>6982.27</w:t>
      </w:r>
      <w:r>
        <w:rPr>
          <w:rFonts w:hint="eastAsia" w:ascii="仿宋_GB2312" w:eastAsia="仿宋_GB2312" w:cs="??_GB2312"/>
          <w:color w:val="000000"/>
          <w:kern w:val="0"/>
          <w:sz w:val="32"/>
          <w:szCs w:val="32"/>
        </w:rPr>
        <w:t>万元。</w:t>
      </w:r>
    </w:p>
    <w:p>
      <w:pPr>
        <w:spacing w:line="540" w:lineRule="exact"/>
        <w:ind w:firstLine="640"/>
        <w:rPr>
          <w:rFonts w:ascii="黑体" w:hAnsi="宋体" w:eastAsia="黑体"/>
          <w:color w:val="000000"/>
          <w:kern w:val="0"/>
          <w:sz w:val="32"/>
          <w:szCs w:val="32"/>
          <w:lang w:bidi="ar"/>
        </w:rPr>
      </w:pPr>
    </w:p>
    <w:p>
      <w:pPr>
        <w:spacing w:line="540" w:lineRule="exact"/>
        <w:jc w:val="center"/>
        <w:rPr>
          <w:sz w:val="44"/>
          <w:szCs w:val="44"/>
        </w:rPr>
      </w:pPr>
      <w:r>
        <w:rPr>
          <w:rFonts w:hint="eastAsia" w:ascii="黑体" w:hAnsi="宋体" w:eastAsia="黑体"/>
          <w:color w:val="000000"/>
          <w:kern w:val="0"/>
          <w:sz w:val="44"/>
          <w:szCs w:val="44"/>
          <w:lang w:bidi="ar"/>
        </w:rPr>
        <w:t>第三部分 专业名词解释</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8.结余资金</w:t>
      </w:r>
      <w:r>
        <w:rPr>
          <w:rFonts w:hint="eastAsia" w:ascii="仿宋_GB2312" w:hAnsi="仿宋_GB2312" w:eastAsia="仿宋_GB2312" w:cs="仿宋_GB2312"/>
          <w:sz w:val="32"/>
          <w:szCs w:val="32"/>
        </w:rPr>
        <w:t>：即当年预算工作目标已完成，或者因故终止，当年剩余的资金。</w:t>
      </w:r>
    </w:p>
    <w:p>
      <w:pPr>
        <w:widowControl/>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r>
        <w:rPr>
          <w:rFonts w:ascii="黑体" w:hAnsi="宋体" w:eastAsia="黑体"/>
          <w:color w:val="000000"/>
          <w:kern w:val="0"/>
          <w:sz w:val="44"/>
          <w:szCs w:val="44"/>
          <w:lang w:bidi="ar"/>
        </w:rPr>
        <w:t>第</w:t>
      </w:r>
      <w:r>
        <w:rPr>
          <w:rFonts w:hint="eastAsia" w:ascii="黑体" w:hAnsi="宋体" w:eastAsia="黑体"/>
          <w:color w:val="000000"/>
          <w:kern w:val="0"/>
          <w:sz w:val="44"/>
          <w:szCs w:val="44"/>
          <w:lang w:bidi="ar"/>
        </w:rPr>
        <w:t>四</w:t>
      </w:r>
      <w:r>
        <w:rPr>
          <w:rFonts w:ascii="黑体" w:hAnsi="宋体" w:eastAsia="黑体"/>
          <w:color w:val="000000"/>
          <w:kern w:val="0"/>
          <w:sz w:val="44"/>
          <w:szCs w:val="44"/>
          <w:lang w:bidi="ar"/>
        </w:rPr>
        <w:t>部分 2021年度部门决算</w:t>
      </w:r>
      <w:r>
        <w:rPr>
          <w:rFonts w:hint="eastAsia" w:ascii="黑体" w:hAnsi="宋体" w:eastAsia="黑体"/>
          <w:color w:val="000000"/>
          <w:kern w:val="0"/>
          <w:sz w:val="44"/>
          <w:szCs w:val="44"/>
          <w:lang w:bidi="ar"/>
        </w:rPr>
        <w:t>公开</w:t>
      </w:r>
      <w:r>
        <w:rPr>
          <w:rFonts w:ascii="黑体" w:hAnsi="宋体" w:eastAsia="黑体"/>
          <w:color w:val="000000"/>
          <w:kern w:val="0"/>
          <w:sz w:val="44"/>
          <w:szCs w:val="44"/>
          <w:lang w:bidi="ar"/>
        </w:rPr>
        <w:t>表</w:t>
      </w:r>
    </w:p>
    <w:tbl>
      <w:tblPr>
        <w:tblStyle w:val="6"/>
        <w:tblpPr w:leftFromText="180" w:rightFromText="180" w:vertAnchor="text" w:horzAnchor="page" w:tblpX="1595" w:tblpY="805"/>
        <w:tblOverlap w:val="never"/>
        <w:tblW w:w="8780" w:type="dxa"/>
        <w:tblInd w:w="0" w:type="dxa"/>
        <w:tblLayout w:type="fixed"/>
        <w:tblCellMar>
          <w:top w:w="0" w:type="dxa"/>
          <w:left w:w="0" w:type="dxa"/>
          <w:bottom w:w="0" w:type="dxa"/>
          <w:right w:w="0" w:type="dxa"/>
        </w:tblCellMar>
      </w:tblPr>
      <w:tblGrid>
        <w:gridCol w:w="790"/>
        <w:gridCol w:w="4566"/>
        <w:gridCol w:w="708"/>
        <w:gridCol w:w="2716"/>
      </w:tblGrid>
      <w:tr>
        <w:tblPrEx>
          <w:tblCellMar>
            <w:top w:w="0" w:type="dxa"/>
            <w:left w:w="0" w:type="dxa"/>
            <w:bottom w:w="0" w:type="dxa"/>
            <w:right w:w="0" w:type="dxa"/>
          </w:tblCellMar>
        </w:tblPrEx>
        <w:trPr>
          <w:trHeight w:val="66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532"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12"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419"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12"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70"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1"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29" w:hRule="exact"/>
        </w:trPr>
        <w:tc>
          <w:tcPr>
            <w:tcW w:w="7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5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7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91"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1"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表9</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国有资本经营预算财政拨款支出决算表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91" w:hRule="exac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表10</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部门项目绩效目标自评表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0" w:type="dxa"/>
            <w:vAlign w:val="center"/>
          </w:tcPr>
          <w:p>
            <w:pPr>
              <w:widowControl/>
              <w:textAlignment w:val="center"/>
              <w:rPr>
                <w:rFonts w:ascii="仿宋_GB2312" w:hAnsi="仿宋_GB2312" w:eastAsia="仿宋_GB2312" w:cs="仿宋_GB2312"/>
                <w:color w:val="000000"/>
                <w:kern w:val="0"/>
                <w:sz w:val="28"/>
                <w:szCs w:val="32"/>
                <w:lang w:bidi="ar"/>
              </w:rPr>
            </w:pPr>
            <w:r>
              <w:rPr>
                <w:rFonts w:ascii="宋体" w:hAnsi="宋体" w:cs="宋体"/>
                <w:color w:val="000000"/>
                <w:kern w:val="0"/>
                <w:sz w:val="24"/>
                <w:lang w:bidi="ar"/>
              </w:rPr>
              <w:t>表</w:t>
            </w:r>
            <w:r>
              <w:rPr>
                <w:rFonts w:hint="eastAsia" w:ascii="宋体" w:hAnsi="宋体" w:cs="宋体"/>
                <w:color w:val="000000"/>
                <w:kern w:val="0"/>
                <w:sz w:val="24"/>
                <w:lang w:bidi="ar"/>
              </w:rPr>
              <w:t>11</w:t>
            </w:r>
          </w:p>
        </w:tc>
        <w:tc>
          <w:tcPr>
            <w:tcW w:w="4566" w:type="dxa"/>
            <w:vAlign w:val="center"/>
          </w:tcPr>
          <w:p>
            <w:pPr>
              <w:rPr>
                <w:rFonts w:ascii="仿宋_GB2312" w:hAnsi="仿宋_GB2312" w:eastAsia="仿宋_GB2312" w:cs="仿宋_GB2312"/>
                <w:color w:val="000000"/>
                <w:kern w:val="0"/>
                <w:sz w:val="32"/>
                <w:szCs w:val="32"/>
                <w:lang w:bidi="ar"/>
              </w:rPr>
            </w:pPr>
            <w:r>
              <w:rPr>
                <w:rFonts w:hint="eastAsia" w:ascii="宋体" w:hAnsi="宋体" w:cs="宋体"/>
                <w:color w:val="000000"/>
                <w:kern w:val="0"/>
                <w:sz w:val="24"/>
                <w:lang w:bidi="ar"/>
              </w:rPr>
              <w:t>部门整体绩效目标自评表</w:t>
            </w:r>
          </w:p>
        </w:tc>
        <w:tc>
          <w:tcPr>
            <w:tcW w:w="708" w:type="dxa"/>
          </w:tcPr>
          <w:p>
            <w:pPr>
              <w:jc w:val="left"/>
              <w:rPr>
                <w:rFonts w:ascii="仿宋_GB2312" w:hAnsi="仿宋_GB2312" w:eastAsia="仿宋_GB2312" w:cs="仿宋_GB2312"/>
                <w:color w:val="000000"/>
                <w:kern w:val="0"/>
                <w:sz w:val="32"/>
                <w:szCs w:val="32"/>
                <w:lang w:bidi="ar"/>
              </w:rPr>
            </w:pPr>
          </w:p>
        </w:tc>
        <w:tc>
          <w:tcPr>
            <w:tcW w:w="2716" w:type="dxa"/>
          </w:tcPr>
          <w:p>
            <w:pPr>
              <w:jc w:val="left"/>
              <w:rPr>
                <w:rFonts w:ascii="仿宋_GB2312" w:hAnsi="仿宋_GB2312" w:eastAsia="仿宋_GB2312" w:cs="仿宋_GB2312"/>
                <w:color w:val="000000"/>
                <w:kern w:val="0"/>
                <w:sz w:val="32"/>
                <w:szCs w:val="32"/>
                <w:lang w:bidi="ar"/>
              </w:rPr>
            </w:pPr>
          </w:p>
        </w:tc>
      </w:tr>
    </w:tbl>
    <w:p>
      <w:pPr>
        <w:jc w:val="left"/>
        <w:rPr>
          <w:rFonts w:ascii="仿宋_GB2312" w:hAnsi="仿宋_GB2312" w:eastAsia="仿宋_GB2312" w:cs="仿宋_GB2312"/>
          <w:color w:val="000000"/>
          <w:kern w:val="0"/>
          <w:sz w:val="32"/>
          <w:szCs w:val="32"/>
          <w:lang w:bidi="ar"/>
        </w:rPr>
      </w:pPr>
    </w:p>
    <w:p>
      <w:pPr>
        <w:jc w:val="left"/>
        <w:rPr>
          <w:rFonts w:ascii="仿宋_GB2312" w:hAnsi="仿宋_GB2312" w:eastAsia="仿宋_GB2312" w:cs="仿宋_GB2312"/>
          <w:color w:val="000000"/>
          <w:kern w:val="0"/>
          <w:sz w:val="32"/>
          <w:szCs w:val="32"/>
          <w:lang w:bidi="ar"/>
        </w:rPr>
      </w:pPr>
    </w:p>
    <w:p>
      <w:pPr>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部门决算公开表1--表9及绩效自评表10、表11电子表附后。</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部门项目绩效目标自评表和部门整体绩效目标自评表添加到公开表套表后)</w:t>
      </w:r>
    </w:p>
    <w:sectPr>
      <w:footerReference r:id="rId3" w:type="default"/>
      <w:pgSz w:w="11906" w:h="16838"/>
      <w:pgMar w:top="1758" w:right="1474" w:bottom="1701" w:left="1588"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-485140</wp:posOffset>
              </wp:positionV>
              <wp:extent cx="461645" cy="631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645" cy="631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8.2pt;height:49.7pt;width:36.35pt;mso-position-horizontal:outside;mso-position-horizontal-relative:margin;z-index:251659264;mso-width-relative:page;mso-height-relative:page;" filled="f" stroked="f" coordsize="21600,21600" o:gfxdata="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s8NI9UAAAAGAQAADwAAAAAAAAABACAAAAAiAAAAZHJzL2Rvd25yZXYueG1sUEsBAhQA&#10;FAAAAAgAh07iQBWe9FsuAgAAVQQAAA4AAAAAAAAAAQAgAAAAJAEAAGRycy9lMm9Eb2MueG1sUEsF&#10;BgAAAAAGAAYAWQEAAMQFAAAAAA==&#10;">
              <v:fill on="f" focussize="0,0"/>
              <v:stroke on="f" weight="0.5pt"/>
              <v:imagedata o:title=""/>
              <o:lock v:ext="edit" aspectratio="f"/>
              <v:textbox inset="0mm,0mm,0mm,0mm">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YjMxYTdjN2I2YjVkODk4ZDhhZmNiYzVjOWM0MmYifQ=="/>
  </w:docVars>
  <w:rsids>
    <w:rsidRoot w:val="284409D7"/>
    <w:rsid w:val="000152CA"/>
    <w:rsid w:val="00025A39"/>
    <w:rsid w:val="00032756"/>
    <w:rsid w:val="00044A97"/>
    <w:rsid w:val="00063EEE"/>
    <w:rsid w:val="00075109"/>
    <w:rsid w:val="000B6922"/>
    <w:rsid w:val="000B6DBD"/>
    <w:rsid w:val="000E2718"/>
    <w:rsid w:val="0013041E"/>
    <w:rsid w:val="001C3A1E"/>
    <w:rsid w:val="0027560B"/>
    <w:rsid w:val="00294BB5"/>
    <w:rsid w:val="002B45CF"/>
    <w:rsid w:val="002E3EAA"/>
    <w:rsid w:val="003166F7"/>
    <w:rsid w:val="00321299"/>
    <w:rsid w:val="00324CA6"/>
    <w:rsid w:val="00367095"/>
    <w:rsid w:val="00371A36"/>
    <w:rsid w:val="003765AB"/>
    <w:rsid w:val="003D370C"/>
    <w:rsid w:val="003E5CDF"/>
    <w:rsid w:val="003E6F37"/>
    <w:rsid w:val="003F417C"/>
    <w:rsid w:val="00420F83"/>
    <w:rsid w:val="004F28D9"/>
    <w:rsid w:val="0058773C"/>
    <w:rsid w:val="00594057"/>
    <w:rsid w:val="005A45A9"/>
    <w:rsid w:val="005E2526"/>
    <w:rsid w:val="005E336A"/>
    <w:rsid w:val="006365B9"/>
    <w:rsid w:val="00641BD4"/>
    <w:rsid w:val="0064214D"/>
    <w:rsid w:val="0065067C"/>
    <w:rsid w:val="006508F6"/>
    <w:rsid w:val="00650EED"/>
    <w:rsid w:val="00663A89"/>
    <w:rsid w:val="00685D2C"/>
    <w:rsid w:val="006E3B85"/>
    <w:rsid w:val="00730570"/>
    <w:rsid w:val="00773A79"/>
    <w:rsid w:val="00780A09"/>
    <w:rsid w:val="00797B43"/>
    <w:rsid w:val="007A68ED"/>
    <w:rsid w:val="007E69C7"/>
    <w:rsid w:val="008037B5"/>
    <w:rsid w:val="008A7E43"/>
    <w:rsid w:val="008C5F3D"/>
    <w:rsid w:val="008E1065"/>
    <w:rsid w:val="008F01C2"/>
    <w:rsid w:val="00907F30"/>
    <w:rsid w:val="0093111E"/>
    <w:rsid w:val="009379F9"/>
    <w:rsid w:val="00974615"/>
    <w:rsid w:val="009B4FF2"/>
    <w:rsid w:val="009D3CC5"/>
    <w:rsid w:val="009E1F2D"/>
    <w:rsid w:val="00A01F8A"/>
    <w:rsid w:val="00A3054D"/>
    <w:rsid w:val="00A4645D"/>
    <w:rsid w:val="00A67989"/>
    <w:rsid w:val="00AA182E"/>
    <w:rsid w:val="00AA1875"/>
    <w:rsid w:val="00AF27ED"/>
    <w:rsid w:val="00B1152C"/>
    <w:rsid w:val="00B376CE"/>
    <w:rsid w:val="00B83771"/>
    <w:rsid w:val="00B952FB"/>
    <w:rsid w:val="00BC149C"/>
    <w:rsid w:val="00BC469A"/>
    <w:rsid w:val="00BE6B71"/>
    <w:rsid w:val="00BF3B78"/>
    <w:rsid w:val="00BF7B21"/>
    <w:rsid w:val="00C23EEE"/>
    <w:rsid w:val="00C51EA9"/>
    <w:rsid w:val="00C874A8"/>
    <w:rsid w:val="00CA3AED"/>
    <w:rsid w:val="00CB1A62"/>
    <w:rsid w:val="00CD71D8"/>
    <w:rsid w:val="00CE6517"/>
    <w:rsid w:val="00D033FD"/>
    <w:rsid w:val="00D1096D"/>
    <w:rsid w:val="00D12082"/>
    <w:rsid w:val="00D17A92"/>
    <w:rsid w:val="00D4329A"/>
    <w:rsid w:val="00D60C85"/>
    <w:rsid w:val="00DB1B6D"/>
    <w:rsid w:val="00DB355C"/>
    <w:rsid w:val="00E523B4"/>
    <w:rsid w:val="00EB1B04"/>
    <w:rsid w:val="00F3168C"/>
    <w:rsid w:val="00F32DB1"/>
    <w:rsid w:val="00F35CE6"/>
    <w:rsid w:val="00F7769E"/>
    <w:rsid w:val="00FB3002"/>
    <w:rsid w:val="00FD2548"/>
    <w:rsid w:val="0159301C"/>
    <w:rsid w:val="02922C89"/>
    <w:rsid w:val="0295277A"/>
    <w:rsid w:val="029967A0"/>
    <w:rsid w:val="03015096"/>
    <w:rsid w:val="032A1971"/>
    <w:rsid w:val="03D8293A"/>
    <w:rsid w:val="05404C1F"/>
    <w:rsid w:val="05866892"/>
    <w:rsid w:val="065B7109"/>
    <w:rsid w:val="07047ECE"/>
    <w:rsid w:val="074309F6"/>
    <w:rsid w:val="0950670E"/>
    <w:rsid w:val="0A567314"/>
    <w:rsid w:val="0B3230F5"/>
    <w:rsid w:val="0BC8771C"/>
    <w:rsid w:val="0C676F35"/>
    <w:rsid w:val="0C693493"/>
    <w:rsid w:val="0EAC3647"/>
    <w:rsid w:val="0FE10DAC"/>
    <w:rsid w:val="109E6C9D"/>
    <w:rsid w:val="11A227BD"/>
    <w:rsid w:val="11B63FF2"/>
    <w:rsid w:val="1208618B"/>
    <w:rsid w:val="121C256F"/>
    <w:rsid w:val="128A6382"/>
    <w:rsid w:val="12BE53D5"/>
    <w:rsid w:val="12F10BA9"/>
    <w:rsid w:val="152F4368"/>
    <w:rsid w:val="15E13B8B"/>
    <w:rsid w:val="163D0D06"/>
    <w:rsid w:val="16640041"/>
    <w:rsid w:val="16CD3E38"/>
    <w:rsid w:val="175E7186"/>
    <w:rsid w:val="179B3CF0"/>
    <w:rsid w:val="183A374F"/>
    <w:rsid w:val="190855FC"/>
    <w:rsid w:val="1A2B25C9"/>
    <w:rsid w:val="1C183DA8"/>
    <w:rsid w:val="1C6C40F3"/>
    <w:rsid w:val="1C9357A0"/>
    <w:rsid w:val="1CD53A47"/>
    <w:rsid w:val="1DEF0B38"/>
    <w:rsid w:val="1EBC4444"/>
    <w:rsid w:val="1F5F46D0"/>
    <w:rsid w:val="1FC14756"/>
    <w:rsid w:val="2144119B"/>
    <w:rsid w:val="21463165"/>
    <w:rsid w:val="24857DA0"/>
    <w:rsid w:val="250E6398"/>
    <w:rsid w:val="252F6ADC"/>
    <w:rsid w:val="284409D7"/>
    <w:rsid w:val="29015BC3"/>
    <w:rsid w:val="29675564"/>
    <w:rsid w:val="2AB0164F"/>
    <w:rsid w:val="2B434560"/>
    <w:rsid w:val="2BB05DAB"/>
    <w:rsid w:val="2C220B81"/>
    <w:rsid w:val="2D1C0132"/>
    <w:rsid w:val="2D5E7A55"/>
    <w:rsid w:val="2E933762"/>
    <w:rsid w:val="2F5B427F"/>
    <w:rsid w:val="2F91769C"/>
    <w:rsid w:val="3005243D"/>
    <w:rsid w:val="30224D9D"/>
    <w:rsid w:val="30D37503"/>
    <w:rsid w:val="31943A79"/>
    <w:rsid w:val="32AE76DF"/>
    <w:rsid w:val="32C02EFC"/>
    <w:rsid w:val="32C71C2C"/>
    <w:rsid w:val="33150BE9"/>
    <w:rsid w:val="33F56325"/>
    <w:rsid w:val="3530374A"/>
    <w:rsid w:val="36985DB9"/>
    <w:rsid w:val="39AB5E03"/>
    <w:rsid w:val="3B5322AF"/>
    <w:rsid w:val="3C051ADA"/>
    <w:rsid w:val="3C81109D"/>
    <w:rsid w:val="3CC86686"/>
    <w:rsid w:val="3D393726"/>
    <w:rsid w:val="3D7604D6"/>
    <w:rsid w:val="3E530817"/>
    <w:rsid w:val="3F900F14"/>
    <w:rsid w:val="401A15ED"/>
    <w:rsid w:val="40E02836"/>
    <w:rsid w:val="42393A1C"/>
    <w:rsid w:val="42DC527F"/>
    <w:rsid w:val="4485302D"/>
    <w:rsid w:val="44C61D43"/>
    <w:rsid w:val="453B44DF"/>
    <w:rsid w:val="467E6DEB"/>
    <w:rsid w:val="46933EA7"/>
    <w:rsid w:val="47AA76FA"/>
    <w:rsid w:val="4A8A3813"/>
    <w:rsid w:val="4AA94BEF"/>
    <w:rsid w:val="4B02784D"/>
    <w:rsid w:val="4BB24DCF"/>
    <w:rsid w:val="4BC30D8B"/>
    <w:rsid w:val="4C675BBA"/>
    <w:rsid w:val="4CF82CB6"/>
    <w:rsid w:val="4DC1754C"/>
    <w:rsid w:val="4E571C5E"/>
    <w:rsid w:val="4F1C6214"/>
    <w:rsid w:val="4FD74E04"/>
    <w:rsid w:val="50F11EF6"/>
    <w:rsid w:val="517C69BA"/>
    <w:rsid w:val="525B348E"/>
    <w:rsid w:val="532C36B9"/>
    <w:rsid w:val="532C39BD"/>
    <w:rsid w:val="535844AE"/>
    <w:rsid w:val="53FC12DE"/>
    <w:rsid w:val="54232D0E"/>
    <w:rsid w:val="561978F9"/>
    <w:rsid w:val="57BE4AFC"/>
    <w:rsid w:val="59BB5797"/>
    <w:rsid w:val="59E26205"/>
    <w:rsid w:val="5A2C7265"/>
    <w:rsid w:val="5A655F9F"/>
    <w:rsid w:val="5BA02E96"/>
    <w:rsid w:val="5BAA5AC3"/>
    <w:rsid w:val="5C337866"/>
    <w:rsid w:val="5C69772C"/>
    <w:rsid w:val="5CE46DB3"/>
    <w:rsid w:val="5F3062DF"/>
    <w:rsid w:val="5F926F9A"/>
    <w:rsid w:val="5FC829BC"/>
    <w:rsid w:val="614145B1"/>
    <w:rsid w:val="619A0388"/>
    <w:rsid w:val="61B41449"/>
    <w:rsid w:val="63A159FD"/>
    <w:rsid w:val="64370110"/>
    <w:rsid w:val="66C7528F"/>
    <w:rsid w:val="67122320"/>
    <w:rsid w:val="6726174B"/>
    <w:rsid w:val="67284C27"/>
    <w:rsid w:val="67890C82"/>
    <w:rsid w:val="67A91325"/>
    <w:rsid w:val="69487B09"/>
    <w:rsid w:val="6B624285"/>
    <w:rsid w:val="6BAF305C"/>
    <w:rsid w:val="6CBE317C"/>
    <w:rsid w:val="6E5C0E9F"/>
    <w:rsid w:val="6E9C129B"/>
    <w:rsid w:val="6EBC193D"/>
    <w:rsid w:val="6F345978"/>
    <w:rsid w:val="7040659E"/>
    <w:rsid w:val="734F0FD2"/>
    <w:rsid w:val="751029E3"/>
    <w:rsid w:val="79786DA9"/>
    <w:rsid w:val="7D1F7C67"/>
    <w:rsid w:val="7EDB4A54"/>
    <w:rsid w:val="7F5F07EF"/>
    <w:rsid w:val="7F8A15E4"/>
    <w:rsid w:val="7FCC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7142857143"/>
          <c:y val="0.0562248995983936"/>
          <c:w val="0.493261455525606"/>
          <c:h val="0.799196787148594"/>
        </c:manualLayout>
      </c:layout>
      <c:barChart>
        <c:barDir val="col"/>
        <c:grouping val="clustered"/>
        <c:varyColors val="0"/>
        <c:ser>
          <c:idx val="0"/>
          <c:order val="0"/>
          <c:tx>
            <c:strRef>
              <c:f>Sheet1!$A$2</c:f>
              <c:strCache>
                <c:ptCount val="1"/>
                <c:pt idx="0">
                  <c:v>收入（万元）</c:v>
                </c:pt>
              </c:strCache>
            </c:strRef>
          </c:tx>
          <c:spPr>
            <a:solidFill>
              <a:srgbClr val="9999FF"/>
            </a:solidFill>
            <a:ln w="11771">
              <a:solidFill>
                <a:srgbClr val="000000"/>
              </a:solidFill>
              <a:prstDash val="solid"/>
            </a:ln>
          </c:spPr>
          <c:invertIfNegative val="0"/>
          <c:dLbls>
            <c:delete val="1"/>
          </c:dLbls>
          <c:cat>
            <c:strRef>
              <c:f>Sheet1!$B$1:$C$1</c:f>
              <c:strCache>
                <c:ptCount val="2"/>
                <c:pt idx="0">
                  <c:v>2020年</c:v>
                </c:pt>
                <c:pt idx="1">
                  <c:v>2021年</c:v>
                </c:pt>
              </c:strCache>
            </c:strRef>
          </c:cat>
          <c:val>
            <c:numRef>
              <c:f>Sheet1!$B$2:$C$2</c:f>
              <c:numCache>
                <c:formatCode>General</c:formatCode>
                <c:ptCount val="2"/>
                <c:pt idx="0">
                  <c:v>70555</c:v>
                </c:pt>
                <c:pt idx="1">
                  <c:v>62115.64</c:v>
                </c:pt>
              </c:numCache>
            </c:numRef>
          </c:val>
        </c:ser>
        <c:ser>
          <c:idx val="1"/>
          <c:order val="1"/>
          <c:tx>
            <c:strRef>
              <c:f>Sheet1!$A$3</c:f>
              <c:strCache>
                <c:ptCount val="1"/>
                <c:pt idx="0">
                  <c:v>支出（万元）</c:v>
                </c:pt>
              </c:strCache>
            </c:strRef>
          </c:tx>
          <c:spPr>
            <a:solidFill>
              <a:srgbClr val="993366"/>
            </a:solidFill>
            <a:ln w="11771">
              <a:solidFill>
                <a:srgbClr val="000000"/>
              </a:solidFill>
              <a:prstDash val="solid"/>
            </a:ln>
          </c:spPr>
          <c:invertIfNegative val="0"/>
          <c:dLbls>
            <c:delete val="1"/>
          </c:dLbls>
          <c:cat>
            <c:strRef>
              <c:f>Sheet1!$B$1:$C$1</c:f>
              <c:strCache>
                <c:ptCount val="2"/>
                <c:pt idx="0">
                  <c:v>2020年</c:v>
                </c:pt>
                <c:pt idx="1">
                  <c:v>2021年</c:v>
                </c:pt>
              </c:strCache>
            </c:strRef>
          </c:cat>
          <c:val>
            <c:numRef>
              <c:f>Sheet1!$B$3:$C$3</c:f>
              <c:numCache>
                <c:formatCode>General</c:formatCode>
                <c:ptCount val="2"/>
                <c:pt idx="0">
                  <c:v>70555</c:v>
                </c:pt>
                <c:pt idx="1">
                  <c:v>62115.64</c:v>
                </c:pt>
              </c:numCache>
            </c:numRef>
          </c:val>
        </c:ser>
        <c:dLbls>
          <c:showLegendKey val="0"/>
          <c:showVal val="0"/>
          <c:showCatName val="0"/>
          <c:showSerName val="0"/>
          <c:showPercent val="0"/>
          <c:showBubbleSize val="0"/>
        </c:dLbls>
        <c:gapWidth val="150"/>
        <c:axId val="935620416"/>
        <c:axId val="935631296"/>
      </c:barChart>
      <c:catAx>
        <c:axId val="935620416"/>
        <c:scaling>
          <c:orientation val="minMax"/>
        </c:scaling>
        <c:delete val="0"/>
        <c:axPos val="b"/>
        <c:numFmt formatCode="General" sourceLinked="1"/>
        <c:majorTickMark val="in"/>
        <c:minorTickMark val="none"/>
        <c:tickLblPos val="low"/>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35631296"/>
        <c:crosses val="autoZero"/>
        <c:auto val="1"/>
        <c:lblAlgn val="ctr"/>
        <c:lblOffset val="100"/>
        <c:tickLblSkip val="1"/>
        <c:noMultiLvlLbl val="0"/>
      </c:catAx>
      <c:valAx>
        <c:axId val="935631296"/>
        <c:scaling>
          <c:orientation val="minMax"/>
        </c:scaling>
        <c:delete val="0"/>
        <c:axPos val="l"/>
        <c:majorGridlines>
          <c:spPr>
            <a:ln w="2943" cap="flat" cmpd="sng" algn="ctr">
              <a:solidFill>
                <a:srgbClr val="000000"/>
              </a:solidFill>
              <a:prstDash val="solid"/>
              <a:round/>
            </a:ln>
          </c:spPr>
        </c:majorGridlines>
        <c:numFmt formatCode="General" sourceLinked="1"/>
        <c:majorTickMark val="in"/>
        <c:minorTickMark val="none"/>
        <c:tickLblPos val="nextTo"/>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3562041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65768194070081"/>
          <c:y val="0.413654618473896"/>
          <c:w val="0.323450134770889"/>
          <c:h val="0.172690763052209"/>
        </c:manualLayout>
      </c:layout>
      <c:overlay val="0"/>
      <c:spPr>
        <a:noFill/>
        <a:ln w="2943">
          <a:solidFill>
            <a:srgbClr val="000000"/>
          </a:solidFill>
          <a:prstDash val="solid"/>
        </a:ln>
      </c:spPr>
      <c:txPr>
        <a:bodyPr rot="0" spcFirstLastPara="0" vertOverflow="ellipsis" vert="horz" wrap="square" anchor="ctr" anchorCtr="1"/>
        <a:lstStyle/>
        <a:p>
          <a:pPr>
            <a:defRPr lang="zh-CN" sz="10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111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经营收入</c:v>
                </c:pt>
                <c:pt idx="2">
                  <c:v>事业收入</c:v>
                </c:pt>
                <c:pt idx="3">
                  <c:v>其他收入</c:v>
                </c:pt>
              </c:strCache>
            </c:strRef>
          </c:cat>
          <c:val>
            <c:numRef>
              <c:f>Sheet1!$B$2:$B$5</c:f>
              <c:numCache>
                <c:formatCode>General</c:formatCode>
                <c:ptCount val="4"/>
                <c:pt idx="0">
                  <c:v>10</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3.12</c:v>
                </c:pt>
                <c:pt idx="1">
                  <c:v>96.88</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49.09</c:v>
                </c:pt>
                <c:pt idx="1">
                  <c:v>-11.96</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2020年</c:v>
                </c:pt>
                <c:pt idx="1">
                  <c:v>2021年</c:v>
                </c:pt>
              </c:strCache>
            </c:strRef>
          </c:cat>
          <c:val>
            <c:numRef>
              <c:f>Sheet1!$C$2:$C$3</c:f>
              <c:numCache>
                <c:formatCode>General</c:formatCode>
                <c:ptCount val="2"/>
                <c:pt idx="0">
                  <c:v>49.09</c:v>
                </c:pt>
                <c:pt idx="1">
                  <c:v>-11.96</c:v>
                </c:pt>
              </c:numCache>
            </c:numRef>
          </c:val>
        </c:ser>
        <c:dLbls>
          <c:showLegendKey val="0"/>
          <c:showVal val="0"/>
          <c:showCatName val="0"/>
          <c:showSerName val="0"/>
          <c:showPercent val="0"/>
          <c:showBubbleSize val="0"/>
        </c:dLbls>
        <c:gapWidth val="150"/>
        <c:axId val="845532208"/>
        <c:axId val="845531120"/>
      </c:barChart>
      <c:catAx>
        <c:axId val="8455322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531120"/>
        <c:crosses val="autoZero"/>
        <c:auto val="1"/>
        <c:lblAlgn val="ctr"/>
        <c:lblOffset val="100"/>
        <c:noMultiLvlLbl val="0"/>
      </c:catAx>
      <c:valAx>
        <c:axId val="845531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5322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一般公共预算财政拨款收入</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-12.93</c:v>
                </c:pt>
                <c:pt idx="1">
                  <c:v>34.09</c:v>
                </c:pt>
              </c:numCache>
            </c:numRef>
          </c:val>
        </c:ser>
        <c:ser>
          <c:idx val="1"/>
          <c:order val="1"/>
          <c:tx>
            <c:strRef>
              <c:f>Sheet1!$C$1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Sheet1!$C$2:$C$3</c:f>
              <c:numCache>
                <c:formatCode>General</c:formatCode>
                <c:ptCount val="2"/>
                <c:pt idx="0">
                  <c:v>-12.93</c:v>
                </c:pt>
                <c:pt idx="1">
                  <c:v>34.09</c:v>
                </c:pt>
              </c:numCache>
            </c:numRef>
          </c:val>
        </c:ser>
        <c:dLbls>
          <c:showLegendKey val="0"/>
          <c:showVal val="0"/>
          <c:showCatName val="0"/>
          <c:showSerName val="0"/>
          <c:showPercent val="0"/>
          <c:showBubbleSize val="0"/>
        </c:dLbls>
        <c:gapWidth val="150"/>
        <c:axId val="845518608"/>
        <c:axId val="845524592"/>
      </c:barChart>
      <c:catAx>
        <c:axId val="8455186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524592"/>
        <c:crosses val="autoZero"/>
        <c:auto val="1"/>
        <c:lblAlgn val="ctr"/>
        <c:lblOffset val="100"/>
        <c:noMultiLvlLbl val="0"/>
      </c:catAx>
      <c:valAx>
        <c:axId val="845524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55186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金    额</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69.58</c:v>
                </c:pt>
                <c:pt idx="3">
                  <c:v>30.42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alpha val="72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9116</Words>
  <Characters>10205</Characters>
  <Lines>39</Lines>
  <Paragraphs>10</Paragraphs>
  <TotalTime>24</TotalTime>
  <ScaleCrop>false</ScaleCrop>
  <LinksUpToDate>false</LinksUpToDate>
  <CharactersWithSpaces>10407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2020-09-15T09:03:00Z</dcterms:created>
  <dc:creator>无所谓</dc:creator>
  <cp:lastModifiedBy>DELL</cp:lastModifiedBy>
  <cp:lastPrinted>2022-10-08T01:19:45Z</cp:lastPrinted>
  <dcterms:modified xsi:type="dcterms:W3CDTF">2022-10-08T01:31:27Z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D0128FAE7E224A229B506A24E439194E</vt:lpwstr>
  </property>
</Properties>
</file>